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8646C" w14:textId="5CF4161B" w:rsidR="00E663B7" w:rsidRDefault="00DB0B01">
      <w:pPr>
        <w:pStyle w:val="Ttul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lang w:val="es-ES_tradnl"/>
        </w:rPr>
      </w:pPr>
      <w:r>
        <w:rPr>
          <w:rFonts w:ascii="Arial Bold" w:hAnsi="Arial Bold"/>
          <w:sz w:val="22"/>
          <w:lang w:val="es-ES_tradnl"/>
        </w:rPr>
        <w:t xml:space="preserve"> </w:t>
      </w:r>
      <w:r w:rsidR="00E663B7">
        <w:rPr>
          <w:rFonts w:ascii="Arial Bold" w:hAnsi="Arial Bold"/>
          <w:sz w:val="22"/>
          <w:lang w:val="es-ES_tradnl"/>
        </w:rPr>
        <w:t>[CARTA DE CUBIERTA]</w:t>
      </w:r>
    </w:p>
    <w:p w14:paraId="7841652A" w14:textId="77777777" w:rsidR="00E663B7" w:rsidRDefault="00E663B7">
      <w:pPr>
        <w:pStyle w:val="Ttul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Italic" w:hAnsi="Arial Bold Italic"/>
          <w:sz w:val="22"/>
          <w:lang w:val="es-ES_tradnl"/>
        </w:rPr>
      </w:pPr>
    </w:p>
    <w:p w14:paraId="7FD2E59A" w14:textId="77777777" w:rsidR="00E663B7" w:rsidRDefault="00E663B7">
      <w:pPr>
        <w:pStyle w:val="Ttul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Italic" w:hAnsi="Arial Bold Italic"/>
          <w:sz w:val="22"/>
          <w:lang w:val="es-ES_tradnl"/>
        </w:rPr>
      </w:pPr>
      <w:r>
        <w:rPr>
          <w:rFonts w:ascii="Arial Bold Italic" w:hAnsi="Arial Bold Italic"/>
          <w:sz w:val="22"/>
          <w:lang w:val="es-ES_tradnl"/>
        </w:rPr>
        <w:t>Contribución original</w:t>
      </w:r>
    </w:p>
    <w:p w14:paraId="58BF5422" w14:textId="77777777" w:rsidR="00E663B7" w:rsidRDefault="00E663B7">
      <w:pPr>
        <w:pStyle w:val="Ttul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lang w:val="es-ES_tradnl"/>
        </w:rPr>
      </w:pPr>
    </w:p>
    <w:p w14:paraId="3F0B7AB0" w14:textId="77777777" w:rsidR="00E663B7" w:rsidRPr="00B30790" w:rsidRDefault="00B30790">
      <w:pPr>
        <w:pStyle w:val="Ttul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Cs w:val="24"/>
          <w:lang w:val="es-ES_tradnl"/>
        </w:rPr>
      </w:pPr>
      <w:r w:rsidRPr="00B30790">
        <w:rPr>
          <w:rFonts w:ascii="Arial Bold" w:hAnsi="Arial Bold"/>
          <w:szCs w:val="24"/>
          <w:lang w:val="es-ES_tradnl"/>
        </w:rPr>
        <w:t>Síndrome de Guillain-Barré en un hospital</w:t>
      </w:r>
      <w:r>
        <w:rPr>
          <w:rFonts w:ascii="Arial Bold" w:hAnsi="Arial Bold"/>
          <w:szCs w:val="24"/>
          <w:lang w:val="es-ES_tradnl"/>
        </w:rPr>
        <w:t xml:space="preserve"> de referencia en México</w:t>
      </w:r>
    </w:p>
    <w:p w14:paraId="366E7FB7" w14:textId="77777777" w:rsidR="00B30790" w:rsidRDefault="00B30790">
      <w:pPr>
        <w:pStyle w:val="Ttul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lang w:val="es-ES_tradnl"/>
        </w:rPr>
      </w:pPr>
    </w:p>
    <w:p w14:paraId="02029EBA" w14:textId="27A6EC07" w:rsidR="00F77081" w:rsidRDefault="005D5E10" w:rsidP="005D5E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sz w:val="22"/>
        </w:rPr>
      </w:pPr>
      <w:r w:rsidRPr="005D5E10">
        <w:rPr>
          <w:sz w:val="22"/>
        </w:rPr>
        <w:t>Luis Carrillo-Pérez Diego, García-Ramos Guillermo, Ruano-Calderón Luis Angel, Sosa-Hernández José Luiz, Méndez-Castillo Juan José</w:t>
      </w:r>
    </w:p>
    <w:p w14:paraId="49B98742" w14:textId="77777777" w:rsidR="005D5E10" w:rsidRDefault="005D5E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rPr>
      </w:pPr>
    </w:p>
    <w:p w14:paraId="398FFDD8" w14:textId="77777777" w:rsidR="00E663B7" w:rsidRDefault="00E663B7">
      <w:pPr>
        <w:pStyle w:val="Encabezado1"/>
        <w:tabs>
          <w:tab w:val="clear" w:pos="4419"/>
          <w:tab w:val="clear" w:pos="883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r>
        <w:rPr>
          <w:sz w:val="22"/>
        </w:rPr>
        <w:t>Todos los autores han contribuido de forma sustancial al diseño, realización, análisis y presentación de los productos de este trabajo, de forma tal que han tomado responsabilidad por éste. Cada autor cree que este artículo representa la comunicación de un trabajo válido, verídico y ético, y cada autor ha revisado el contenido de este escrito y lo ha aprobado para su publicación, siendo esta autorización dictaminada por el autor de correspondencia, pero cuya responsabilidad es delegada a éste, sin conflictos, por cada uno de los autores.</w:t>
      </w:r>
    </w:p>
    <w:p w14:paraId="640A0AC1" w14:textId="77777777" w:rsidR="00E663B7" w:rsidRDefault="00E663B7">
      <w:pPr>
        <w:pStyle w:val="Encabezado1"/>
        <w:tabs>
          <w:tab w:val="clear" w:pos="4419"/>
          <w:tab w:val="clear" w:pos="883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704B834C" w14:textId="77777777" w:rsidR="00E663B7" w:rsidRDefault="00E663B7">
      <w:pPr>
        <w:pStyle w:val="Encabezado1"/>
        <w:tabs>
          <w:tab w:val="clear" w:pos="4419"/>
          <w:tab w:val="clear" w:pos="883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r>
        <w:rPr>
          <w:sz w:val="22"/>
        </w:rPr>
        <w:tab/>
        <w:t>Además, todos los autores dan fe de la precisión con la que se hicieron los análisis, hasta el punto donde el error humano no advertido haya permitido lograr.  Los autores declaran que este trabajo nunca ha sido publicado, ya sea de forma parcial o total, en otra revista de divulgación de científica, y que el mismo no está siendo considerado en ninguna otra parte para su publicación. Por otro lado, no existe afiliación alguna con cualesquiera organización con un interés monetario o ético directo o indirecto con la sustancia de lo tratado en este escrito científico; por lo que todos los autores declaran que no existe conflicto de interés alguno que afecte el diseño y el reporte de los resultados del estudio.</w:t>
      </w:r>
    </w:p>
    <w:p w14:paraId="1BF8FE1C" w14:textId="77777777" w:rsidR="00E663B7" w:rsidRDefault="00E663B7">
      <w:pPr>
        <w:pStyle w:val="Ttul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left"/>
        <w:rPr>
          <w:rFonts w:ascii="Arial Bold" w:hAnsi="Arial Bold"/>
          <w:sz w:val="22"/>
          <w:lang w:val="es-ES_tradnl"/>
        </w:rPr>
      </w:pPr>
    </w:p>
    <w:p w14:paraId="0F9121CB" w14:textId="77777777" w:rsidR="00DB0B01" w:rsidRDefault="00DB0B01">
      <w:pPr>
        <w:rPr>
          <w:rFonts w:ascii="Arial Bold" w:hAnsi="Arial Bold"/>
          <w:sz w:val="22"/>
          <w:szCs w:val="20"/>
          <w:lang w:eastAsia="es-ES"/>
        </w:rPr>
      </w:pPr>
      <w:r>
        <w:rPr>
          <w:rFonts w:ascii="Arial Bold" w:hAnsi="Arial Bold"/>
          <w:sz w:val="22"/>
        </w:rPr>
        <w:br w:type="page"/>
      </w:r>
    </w:p>
    <w:p w14:paraId="3A39499F" w14:textId="4D9F075A" w:rsidR="00E663B7" w:rsidRDefault="00E663B7">
      <w:pPr>
        <w:pStyle w:val="Ttul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lang w:val="es-ES_tradnl"/>
        </w:rPr>
      </w:pPr>
      <w:r>
        <w:rPr>
          <w:rFonts w:ascii="Arial Bold" w:hAnsi="Arial Bold"/>
          <w:sz w:val="22"/>
          <w:lang w:val="es-ES_tradnl"/>
        </w:rPr>
        <w:lastRenderedPageBreak/>
        <w:t>[</w:t>
      </w:r>
      <w:r w:rsidR="00147D97">
        <w:rPr>
          <w:rFonts w:ascii="Arial Bold" w:hAnsi="Arial Bold"/>
          <w:sz w:val="22"/>
          <w:lang w:val="es-ES_tradnl"/>
        </w:rPr>
        <w:t xml:space="preserve">PÁGINA DE </w:t>
      </w:r>
      <w:r>
        <w:rPr>
          <w:rFonts w:ascii="Arial Bold" w:hAnsi="Arial Bold"/>
          <w:sz w:val="22"/>
          <w:lang w:val="es-ES_tradnl"/>
        </w:rPr>
        <w:t>INFORMACIÓN DE LOS AUTORES]</w:t>
      </w:r>
    </w:p>
    <w:p w14:paraId="42CA1D3F" w14:textId="77777777" w:rsidR="00E663B7" w:rsidRDefault="00E663B7">
      <w:pPr>
        <w:pStyle w:val="Ttul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left"/>
        <w:rPr>
          <w:rFonts w:ascii="Arial Bold" w:hAnsi="Arial Bold"/>
          <w:sz w:val="22"/>
          <w:lang w:val="es-ES_tradnl"/>
        </w:rPr>
      </w:pPr>
    </w:p>
    <w:p w14:paraId="5ED0D479" w14:textId="77777777" w:rsidR="00E663B7" w:rsidRDefault="00CD1B1C">
      <w:pPr>
        <w:pStyle w:val="Ttul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lang w:val="es-ES_tradnl"/>
        </w:rPr>
      </w:pPr>
      <w:r w:rsidRPr="00B30790">
        <w:rPr>
          <w:rFonts w:ascii="Arial Bold" w:hAnsi="Arial Bold"/>
          <w:szCs w:val="24"/>
          <w:lang w:val="es-ES_tradnl"/>
        </w:rPr>
        <w:t>Síndrome de Guillain-Barré en un hospital</w:t>
      </w:r>
      <w:r>
        <w:rPr>
          <w:rFonts w:ascii="Arial Bold" w:hAnsi="Arial Bold"/>
          <w:szCs w:val="24"/>
          <w:lang w:val="es-ES_tradnl"/>
        </w:rPr>
        <w:t xml:space="preserve"> de referencia en México</w:t>
      </w:r>
    </w:p>
    <w:p w14:paraId="0C7416F4" w14:textId="77777777" w:rsidR="00E663B7"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5CA13ED1" w14:textId="396F3667" w:rsidR="000907C4" w:rsidRDefault="004F6D32" w:rsidP="00EE02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sz w:val="22"/>
        </w:rPr>
      </w:pPr>
      <w:r w:rsidRPr="004F6D32">
        <w:rPr>
          <w:sz w:val="22"/>
        </w:rPr>
        <w:t>Carrillo-Pérez</w:t>
      </w:r>
      <w:r w:rsidR="005D5E10" w:rsidRPr="005D5E10">
        <w:rPr>
          <w:sz w:val="22"/>
        </w:rPr>
        <w:t xml:space="preserve"> </w:t>
      </w:r>
      <w:r w:rsidR="005D5E10" w:rsidRPr="004F6D32">
        <w:rPr>
          <w:sz w:val="22"/>
        </w:rPr>
        <w:t>Diego Luis</w:t>
      </w:r>
      <w:r w:rsidRPr="004F6D32">
        <w:rPr>
          <w:sz w:val="22"/>
        </w:rPr>
        <w:t>,</w:t>
      </w:r>
      <w:r w:rsidRPr="004F6D32">
        <w:rPr>
          <w:sz w:val="22"/>
          <w:vertAlign w:val="superscript"/>
        </w:rPr>
        <w:t xml:space="preserve"> </w:t>
      </w:r>
      <w:r>
        <w:rPr>
          <w:sz w:val="22"/>
          <w:vertAlign w:val="superscript"/>
        </w:rPr>
        <w:t>1</w:t>
      </w:r>
      <w:r w:rsidR="00CF20B1">
        <w:rPr>
          <w:sz w:val="22"/>
        </w:rPr>
        <w:t xml:space="preserve"> </w:t>
      </w:r>
      <w:r w:rsidR="00EE02E4">
        <w:rPr>
          <w:sz w:val="22"/>
        </w:rPr>
        <w:t>García-Ramos</w:t>
      </w:r>
      <w:r w:rsidR="005D5E10" w:rsidRPr="005D5E10">
        <w:rPr>
          <w:sz w:val="22"/>
        </w:rPr>
        <w:t xml:space="preserve"> </w:t>
      </w:r>
      <w:r w:rsidR="005D5E10">
        <w:rPr>
          <w:sz w:val="22"/>
        </w:rPr>
        <w:t>Guillermo</w:t>
      </w:r>
      <w:r w:rsidR="00EE02E4">
        <w:rPr>
          <w:sz w:val="22"/>
        </w:rPr>
        <w:t>,</w:t>
      </w:r>
      <w:r w:rsidR="00EE02E4" w:rsidRPr="004F6D32">
        <w:rPr>
          <w:sz w:val="22"/>
          <w:vertAlign w:val="superscript"/>
        </w:rPr>
        <w:t xml:space="preserve"> </w:t>
      </w:r>
      <w:r w:rsidR="00EE02E4">
        <w:rPr>
          <w:sz w:val="22"/>
          <w:vertAlign w:val="superscript"/>
        </w:rPr>
        <w:t>2</w:t>
      </w:r>
      <w:r w:rsidR="000907C4">
        <w:rPr>
          <w:sz w:val="22"/>
        </w:rPr>
        <w:t xml:space="preserve"> Ruano-Calderón</w:t>
      </w:r>
      <w:r w:rsidR="005D5E10" w:rsidRPr="005D5E10">
        <w:rPr>
          <w:sz w:val="22"/>
        </w:rPr>
        <w:t xml:space="preserve"> </w:t>
      </w:r>
      <w:r w:rsidR="005D5E10">
        <w:rPr>
          <w:sz w:val="22"/>
        </w:rPr>
        <w:t>Luis Angel</w:t>
      </w:r>
      <w:r w:rsidR="000907C4">
        <w:rPr>
          <w:sz w:val="22"/>
        </w:rPr>
        <w:t xml:space="preserve">, </w:t>
      </w:r>
      <w:r w:rsidR="000907C4" w:rsidRPr="000907C4">
        <w:rPr>
          <w:sz w:val="22"/>
          <w:vertAlign w:val="superscript"/>
        </w:rPr>
        <w:t>3</w:t>
      </w:r>
      <w:r w:rsidR="00EE02E4" w:rsidRPr="004F6D32">
        <w:rPr>
          <w:sz w:val="22"/>
        </w:rPr>
        <w:t xml:space="preserve"> </w:t>
      </w:r>
    </w:p>
    <w:p w14:paraId="30F3D043" w14:textId="4AC7ED18" w:rsidR="00E663B7" w:rsidRDefault="00A666E4" w:rsidP="00EE02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sz w:val="22"/>
        </w:rPr>
      </w:pPr>
      <w:r w:rsidRPr="004F6D32">
        <w:rPr>
          <w:sz w:val="22"/>
        </w:rPr>
        <w:t>Sosa-Hernández</w:t>
      </w:r>
      <w:r w:rsidR="005D5E10" w:rsidRPr="005D5E10">
        <w:rPr>
          <w:sz w:val="22"/>
        </w:rPr>
        <w:t xml:space="preserve"> </w:t>
      </w:r>
      <w:r w:rsidR="005D5E10">
        <w:rPr>
          <w:sz w:val="22"/>
        </w:rPr>
        <w:t>José Luiz</w:t>
      </w:r>
      <w:r w:rsidRPr="004F6D32">
        <w:rPr>
          <w:sz w:val="22"/>
        </w:rPr>
        <w:t>,</w:t>
      </w:r>
      <w:r w:rsidRPr="004F6D32">
        <w:rPr>
          <w:sz w:val="22"/>
          <w:vertAlign w:val="superscript"/>
        </w:rPr>
        <w:t xml:space="preserve"> </w:t>
      </w:r>
      <w:r w:rsidR="000907C4">
        <w:rPr>
          <w:sz w:val="22"/>
          <w:vertAlign w:val="superscript"/>
        </w:rPr>
        <w:t>4</w:t>
      </w:r>
      <w:r w:rsidRPr="004F6D32">
        <w:rPr>
          <w:sz w:val="22"/>
        </w:rPr>
        <w:t xml:space="preserve"> </w:t>
      </w:r>
      <w:r w:rsidR="004F6D32" w:rsidRPr="004F6D32">
        <w:rPr>
          <w:sz w:val="22"/>
        </w:rPr>
        <w:t>Méndez-Castillo</w:t>
      </w:r>
      <w:r w:rsidR="005D5E10" w:rsidRPr="005D5E10">
        <w:rPr>
          <w:sz w:val="22"/>
        </w:rPr>
        <w:t xml:space="preserve"> </w:t>
      </w:r>
      <w:r w:rsidR="005D5E10" w:rsidRPr="004F6D32">
        <w:rPr>
          <w:sz w:val="22"/>
        </w:rPr>
        <w:t>Juan José</w:t>
      </w:r>
      <w:r w:rsidR="004F6D32">
        <w:rPr>
          <w:sz w:val="22"/>
        </w:rPr>
        <w:t xml:space="preserve"> </w:t>
      </w:r>
      <w:r w:rsidR="000907C4">
        <w:rPr>
          <w:sz w:val="22"/>
          <w:vertAlign w:val="superscript"/>
        </w:rPr>
        <w:t>4</w:t>
      </w:r>
      <w:r w:rsidR="00E663B7">
        <w:rPr>
          <w:sz w:val="22"/>
        </w:rPr>
        <w:t xml:space="preserve"> </w:t>
      </w:r>
    </w:p>
    <w:p w14:paraId="1489693E" w14:textId="77777777" w:rsidR="00E663B7"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sz w:val="22"/>
        </w:rPr>
      </w:pPr>
    </w:p>
    <w:p w14:paraId="40FD0F61" w14:textId="1178A7B6" w:rsidR="00191A73" w:rsidRDefault="00E663B7" w:rsidP="009865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sz w:val="22"/>
        </w:rPr>
      </w:pPr>
      <w:r>
        <w:rPr>
          <w:sz w:val="22"/>
          <w:vertAlign w:val="superscript"/>
        </w:rPr>
        <w:t xml:space="preserve">1 </w:t>
      </w:r>
      <w:r w:rsidR="00A666E4">
        <w:rPr>
          <w:sz w:val="22"/>
        </w:rPr>
        <w:t>Departamento de Medicina Interna</w:t>
      </w:r>
      <w:r>
        <w:rPr>
          <w:sz w:val="22"/>
        </w:rPr>
        <w:t xml:space="preserve">; </w:t>
      </w:r>
      <w:r w:rsidR="00191A73">
        <w:rPr>
          <w:sz w:val="22"/>
        </w:rPr>
        <w:t>Instituto Nacional de Ciencias Médicas y de la Nutrición "Salvador Zubirán"; Ciudad de México, D.F., México.</w:t>
      </w:r>
    </w:p>
    <w:p w14:paraId="76972D43" w14:textId="4743E044" w:rsidR="00A666E4" w:rsidRDefault="00A666E4" w:rsidP="009865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sz w:val="22"/>
        </w:rPr>
      </w:pPr>
      <w:r>
        <w:rPr>
          <w:sz w:val="22"/>
          <w:vertAlign w:val="superscript"/>
        </w:rPr>
        <w:t xml:space="preserve">2 </w:t>
      </w:r>
      <w:r>
        <w:rPr>
          <w:sz w:val="22"/>
        </w:rPr>
        <w:t xml:space="preserve">Departamento de Neurología y Psiquiatría; Instituto Nacional de Ciencias Médicas y de la Nutrición "Salvador Zubirán"; Ciudad de México, D.F., México. </w:t>
      </w:r>
    </w:p>
    <w:p w14:paraId="20B056F5" w14:textId="77777777" w:rsidR="000907C4" w:rsidRDefault="000907C4" w:rsidP="009865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sz w:val="22"/>
        </w:rPr>
      </w:pPr>
      <w:r w:rsidRPr="000907C4">
        <w:rPr>
          <w:sz w:val="22"/>
          <w:vertAlign w:val="superscript"/>
        </w:rPr>
        <w:t>3</w:t>
      </w:r>
      <w:r>
        <w:rPr>
          <w:sz w:val="22"/>
        </w:rPr>
        <w:t xml:space="preserve"> </w:t>
      </w:r>
      <w:r w:rsidRPr="000907C4">
        <w:rPr>
          <w:sz w:val="22"/>
        </w:rPr>
        <w:t>Hospital</w:t>
      </w:r>
      <w:r>
        <w:rPr>
          <w:sz w:val="22"/>
        </w:rPr>
        <w:t xml:space="preserve"> Regional de Durango, Durango, México. </w:t>
      </w:r>
    </w:p>
    <w:p w14:paraId="2804B2F9" w14:textId="77777777" w:rsidR="001A05D8" w:rsidRDefault="000907C4" w:rsidP="009865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sz w:val="22"/>
        </w:rPr>
      </w:pPr>
      <w:r w:rsidRPr="000907C4">
        <w:rPr>
          <w:sz w:val="22"/>
          <w:vertAlign w:val="superscript"/>
        </w:rPr>
        <w:t>4</w:t>
      </w:r>
      <w:r>
        <w:rPr>
          <w:sz w:val="22"/>
        </w:rPr>
        <w:t xml:space="preserve"> </w:t>
      </w:r>
      <w:r w:rsidR="00986536" w:rsidRPr="00986536">
        <w:rPr>
          <w:sz w:val="22"/>
        </w:rPr>
        <w:t xml:space="preserve">Hospital </w:t>
      </w:r>
      <w:r w:rsidR="00A666E4">
        <w:rPr>
          <w:sz w:val="22"/>
        </w:rPr>
        <w:t xml:space="preserve">Regional </w:t>
      </w:r>
      <w:r w:rsidR="00986536" w:rsidRPr="00986536">
        <w:rPr>
          <w:sz w:val="22"/>
        </w:rPr>
        <w:t>de Alta Especialid</w:t>
      </w:r>
      <w:r w:rsidR="00986536">
        <w:rPr>
          <w:sz w:val="22"/>
        </w:rPr>
        <w:t xml:space="preserve">ad “Dr. Juan Graham Casasús”, </w:t>
      </w:r>
    </w:p>
    <w:p w14:paraId="5752B640" w14:textId="77777777" w:rsidR="00E663B7" w:rsidRDefault="00986536" w:rsidP="009865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rFonts w:ascii="Arial Bold" w:hAnsi="Arial Bold"/>
          <w:sz w:val="22"/>
        </w:rPr>
      </w:pPr>
      <w:r>
        <w:rPr>
          <w:sz w:val="22"/>
        </w:rPr>
        <w:t>Villahermo</w:t>
      </w:r>
      <w:r w:rsidRPr="00986536">
        <w:rPr>
          <w:sz w:val="22"/>
        </w:rPr>
        <w:t>sa, Tab</w:t>
      </w:r>
      <w:r>
        <w:rPr>
          <w:sz w:val="22"/>
        </w:rPr>
        <w:t>asco</w:t>
      </w:r>
      <w:r w:rsidR="005113ED">
        <w:rPr>
          <w:sz w:val="22"/>
        </w:rPr>
        <w:t>;</w:t>
      </w:r>
      <w:r w:rsidRPr="00986536">
        <w:rPr>
          <w:sz w:val="22"/>
        </w:rPr>
        <w:t xml:space="preserve"> México</w:t>
      </w:r>
    </w:p>
    <w:p w14:paraId="1B268D25" w14:textId="77777777" w:rsidR="00A36D3D" w:rsidRDefault="00A36D3D" w:rsidP="00A36D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sz w:val="22"/>
        </w:rPr>
      </w:pPr>
    </w:p>
    <w:p w14:paraId="31017A64" w14:textId="77777777" w:rsidR="00E663B7" w:rsidRPr="001D762E"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rFonts w:ascii="Arial Bold" w:hAnsi="Arial Bold"/>
          <w:sz w:val="22"/>
        </w:rPr>
      </w:pPr>
    </w:p>
    <w:p w14:paraId="20C11FC7" w14:textId="77777777" w:rsidR="00E663B7" w:rsidRPr="001D762E"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rFonts w:cs="Arial"/>
          <w:b/>
          <w:sz w:val="22"/>
          <w:szCs w:val="22"/>
        </w:rPr>
      </w:pPr>
      <w:r w:rsidRPr="001D762E">
        <w:rPr>
          <w:rFonts w:cs="Arial"/>
          <w:b/>
          <w:sz w:val="22"/>
          <w:szCs w:val="22"/>
        </w:rPr>
        <w:t xml:space="preserve">Dirección para correspondencia: </w:t>
      </w:r>
    </w:p>
    <w:p w14:paraId="1895D326" w14:textId="124C339A" w:rsidR="00A666E4" w:rsidRPr="001D762E" w:rsidRDefault="00A666E4" w:rsidP="00DB0B01">
      <w:pPr>
        <w:spacing w:line="480" w:lineRule="auto"/>
        <w:rPr>
          <w:rFonts w:eastAsia="Times New Roman" w:cs="Arial"/>
          <w:color w:val="222222"/>
          <w:sz w:val="22"/>
          <w:szCs w:val="22"/>
          <w:lang w:val="es-MX" w:eastAsia="es-MX"/>
        </w:rPr>
      </w:pPr>
      <w:r w:rsidRPr="00DB0B01">
        <w:rPr>
          <w:rFonts w:eastAsia="Times New Roman" w:cs="Arial"/>
          <w:i/>
          <w:color w:val="222222"/>
          <w:sz w:val="22"/>
          <w:szCs w:val="22"/>
          <w:lang w:val="es-MX" w:eastAsia="es-MX"/>
        </w:rPr>
        <w:t>Dr. Juan José Méndez-Castillo</w:t>
      </w:r>
      <w:r w:rsidR="00DB0B01" w:rsidRPr="00DB0B01">
        <w:rPr>
          <w:rFonts w:eastAsia="Times New Roman" w:cs="Arial"/>
          <w:i/>
          <w:color w:val="222222"/>
          <w:sz w:val="22"/>
          <w:szCs w:val="22"/>
          <w:lang w:val="es-MX" w:eastAsia="es-MX"/>
        </w:rPr>
        <w:t>.</w:t>
      </w:r>
      <w:r w:rsidR="00DB0B01">
        <w:rPr>
          <w:rFonts w:eastAsia="Times New Roman" w:cs="Arial"/>
          <w:color w:val="222222"/>
          <w:sz w:val="22"/>
          <w:szCs w:val="22"/>
          <w:lang w:val="es-MX" w:eastAsia="es-MX"/>
        </w:rPr>
        <w:t xml:space="preserve"> </w:t>
      </w:r>
      <w:r w:rsidR="001D762E">
        <w:rPr>
          <w:rFonts w:eastAsia="Times New Roman" w:cs="Arial"/>
          <w:color w:val="222222"/>
          <w:sz w:val="22"/>
          <w:szCs w:val="22"/>
          <w:lang w:val="es-MX" w:eastAsia="es-MX"/>
        </w:rPr>
        <w:t xml:space="preserve">Departamento </w:t>
      </w:r>
      <w:r w:rsidRPr="001D762E">
        <w:rPr>
          <w:rFonts w:eastAsia="Times New Roman" w:cs="Arial"/>
          <w:color w:val="222222"/>
          <w:sz w:val="22"/>
          <w:szCs w:val="22"/>
          <w:lang w:val="es-MX" w:eastAsia="es-MX"/>
        </w:rPr>
        <w:t>de Neurología, Hospital Regional de Alta Especialidad "Dr. Juan Graham</w:t>
      </w:r>
      <w:r w:rsidR="001A05D8" w:rsidRPr="001D762E">
        <w:rPr>
          <w:rFonts w:eastAsia="Times New Roman" w:cs="Arial"/>
          <w:color w:val="222222"/>
          <w:sz w:val="22"/>
          <w:szCs w:val="22"/>
          <w:lang w:val="es-MX" w:eastAsia="es-MX"/>
        </w:rPr>
        <w:t xml:space="preserve"> Casasús</w:t>
      </w:r>
      <w:r w:rsidR="00DB0B01">
        <w:rPr>
          <w:rFonts w:eastAsia="Times New Roman" w:cs="Arial"/>
          <w:color w:val="222222"/>
          <w:sz w:val="22"/>
          <w:szCs w:val="22"/>
          <w:lang w:val="es-MX" w:eastAsia="es-MX"/>
        </w:rPr>
        <w:t xml:space="preserve">". </w:t>
      </w:r>
      <w:r w:rsidRPr="001D762E">
        <w:rPr>
          <w:rFonts w:eastAsia="Times New Roman" w:cs="Arial"/>
          <w:color w:val="222222"/>
          <w:sz w:val="22"/>
          <w:szCs w:val="22"/>
          <w:lang w:val="es-ES" w:eastAsia="es-MX"/>
        </w:rPr>
        <w:t>Carretera Villahermosa a la Isla Km 1.3, Col. Miguel Hidalgo.</w:t>
      </w:r>
      <w:r w:rsidR="00DB0B01">
        <w:rPr>
          <w:rFonts w:eastAsia="Times New Roman" w:cs="Arial"/>
          <w:color w:val="222222"/>
          <w:sz w:val="22"/>
          <w:szCs w:val="22"/>
          <w:lang w:val="es-MX" w:eastAsia="es-MX"/>
        </w:rPr>
        <w:t xml:space="preserve"> </w:t>
      </w:r>
      <w:r w:rsidRPr="001D762E">
        <w:rPr>
          <w:rFonts w:eastAsia="Times New Roman" w:cs="Arial"/>
          <w:color w:val="222222"/>
          <w:sz w:val="22"/>
          <w:szCs w:val="22"/>
          <w:lang w:val="es-ES" w:eastAsia="es-MX"/>
        </w:rPr>
        <w:t>Villahermosa, Tabasco, México. </w:t>
      </w:r>
      <w:r w:rsidR="00DB0B01">
        <w:rPr>
          <w:rFonts w:eastAsia="Times New Roman" w:cs="Arial"/>
          <w:color w:val="222222"/>
          <w:sz w:val="22"/>
          <w:szCs w:val="22"/>
          <w:lang w:val="es-MX" w:eastAsia="es-MX"/>
        </w:rPr>
        <w:t xml:space="preserve"> </w:t>
      </w:r>
      <w:r w:rsidRPr="001D762E">
        <w:rPr>
          <w:rFonts w:eastAsia="Times New Roman" w:cs="Arial"/>
          <w:color w:val="222222"/>
          <w:sz w:val="22"/>
          <w:szCs w:val="22"/>
          <w:lang w:val="es-ES" w:eastAsia="es-MX"/>
        </w:rPr>
        <w:t>C</w:t>
      </w:r>
      <w:r w:rsidR="001A05D8" w:rsidRPr="001D762E">
        <w:rPr>
          <w:rFonts w:eastAsia="Times New Roman" w:cs="Arial"/>
          <w:color w:val="222222"/>
          <w:sz w:val="22"/>
          <w:szCs w:val="22"/>
          <w:lang w:val="es-ES" w:eastAsia="es-MX"/>
        </w:rPr>
        <w:t>ódigo Postal</w:t>
      </w:r>
      <w:r w:rsidR="001D762E">
        <w:rPr>
          <w:rFonts w:eastAsia="Times New Roman" w:cs="Arial"/>
          <w:color w:val="222222"/>
          <w:sz w:val="22"/>
          <w:szCs w:val="22"/>
          <w:lang w:val="es-ES" w:eastAsia="es-MX"/>
        </w:rPr>
        <w:t xml:space="preserve">: 86126, </w:t>
      </w:r>
      <w:r w:rsidRPr="001D762E">
        <w:rPr>
          <w:rFonts w:eastAsia="Times New Roman" w:cs="Arial"/>
          <w:color w:val="222222"/>
          <w:sz w:val="22"/>
          <w:szCs w:val="22"/>
          <w:lang w:val="es-ES" w:eastAsia="es-MX"/>
        </w:rPr>
        <w:t>Tel.: 99 (33) 10-03-00, </w:t>
      </w:r>
      <w:r w:rsidR="001D762E">
        <w:rPr>
          <w:rFonts w:eastAsia="Times New Roman" w:cs="Arial"/>
          <w:color w:val="222222"/>
          <w:sz w:val="22"/>
          <w:szCs w:val="22"/>
          <w:lang w:val="es-ES" w:eastAsia="es-MX"/>
        </w:rPr>
        <w:t xml:space="preserve">Fax: </w:t>
      </w:r>
      <w:r w:rsidRPr="001D762E">
        <w:rPr>
          <w:rFonts w:eastAsia="Times New Roman" w:cs="Arial"/>
          <w:color w:val="222222"/>
          <w:sz w:val="22"/>
          <w:szCs w:val="22"/>
          <w:lang w:val="es-ES" w:eastAsia="es-MX"/>
        </w:rPr>
        <w:t>99 (33) 10-03-07, </w:t>
      </w:r>
      <w:r w:rsidR="001D762E">
        <w:rPr>
          <w:rFonts w:eastAsia="Times New Roman" w:cs="Arial"/>
          <w:color w:val="222222"/>
          <w:sz w:val="22"/>
          <w:szCs w:val="22"/>
          <w:lang w:val="es-ES" w:eastAsia="es-MX"/>
        </w:rPr>
        <w:t xml:space="preserve">Tel: </w:t>
      </w:r>
      <w:r w:rsidRPr="001D762E">
        <w:rPr>
          <w:rFonts w:eastAsia="Times New Roman" w:cs="Arial"/>
          <w:color w:val="222222"/>
          <w:sz w:val="22"/>
          <w:szCs w:val="22"/>
          <w:lang w:val="es-ES" w:eastAsia="es-MX"/>
        </w:rPr>
        <w:t>99 (33) 16-</w:t>
      </w:r>
      <w:r w:rsidR="001A05D8" w:rsidRPr="001D762E">
        <w:rPr>
          <w:rFonts w:eastAsia="Times New Roman" w:cs="Arial"/>
          <w:color w:val="222222"/>
          <w:sz w:val="22"/>
          <w:szCs w:val="22"/>
          <w:lang w:val="es-ES" w:eastAsia="es-MX"/>
        </w:rPr>
        <w:t>22</w:t>
      </w:r>
      <w:r w:rsidRPr="001D762E">
        <w:rPr>
          <w:rFonts w:eastAsia="Times New Roman" w:cs="Arial"/>
          <w:color w:val="222222"/>
          <w:sz w:val="22"/>
          <w:szCs w:val="22"/>
          <w:lang w:val="es-ES" w:eastAsia="es-MX"/>
        </w:rPr>
        <w:t>-</w:t>
      </w:r>
      <w:r w:rsidR="001A05D8" w:rsidRPr="001D762E">
        <w:rPr>
          <w:rFonts w:eastAsia="Times New Roman" w:cs="Arial"/>
          <w:color w:val="222222"/>
          <w:sz w:val="22"/>
          <w:szCs w:val="22"/>
          <w:lang w:val="es-ES" w:eastAsia="es-MX"/>
        </w:rPr>
        <w:t>5</w:t>
      </w:r>
      <w:r w:rsidRPr="001D762E">
        <w:rPr>
          <w:rFonts w:eastAsia="Times New Roman" w:cs="Arial"/>
          <w:color w:val="222222"/>
          <w:sz w:val="22"/>
          <w:szCs w:val="22"/>
          <w:lang w:val="es-ES" w:eastAsia="es-MX"/>
        </w:rPr>
        <w:t>3</w:t>
      </w:r>
      <w:r w:rsidR="00DB0B01">
        <w:rPr>
          <w:rFonts w:eastAsia="Times New Roman" w:cs="Arial"/>
          <w:color w:val="222222"/>
          <w:sz w:val="22"/>
          <w:szCs w:val="22"/>
          <w:lang w:val="es-MX" w:eastAsia="es-MX"/>
        </w:rPr>
        <w:t xml:space="preserve">. </w:t>
      </w:r>
      <w:r w:rsidRPr="001D762E">
        <w:rPr>
          <w:rFonts w:eastAsia="Times New Roman" w:cs="Arial"/>
          <w:color w:val="222222"/>
          <w:sz w:val="22"/>
          <w:szCs w:val="22"/>
          <w:lang w:val="es-ES" w:eastAsia="es-MX"/>
        </w:rPr>
        <w:t>Correo electrónico: </w:t>
      </w:r>
      <w:r w:rsidR="00C118DF" w:rsidRPr="001D762E">
        <w:rPr>
          <w:rFonts w:cs="Arial"/>
          <w:sz w:val="22"/>
          <w:szCs w:val="22"/>
        </w:rPr>
        <w:fldChar w:fldCharType="begin"/>
      </w:r>
      <w:r w:rsidR="00C118DF" w:rsidRPr="001D762E">
        <w:rPr>
          <w:rFonts w:cs="Arial"/>
          <w:sz w:val="22"/>
          <w:szCs w:val="22"/>
        </w:rPr>
        <w:instrText xml:space="preserve"> HYPERLINK "mailto:neu8ro-logo@yahoo.com" \t "_blank" </w:instrText>
      </w:r>
      <w:r w:rsidR="00C118DF" w:rsidRPr="001D762E">
        <w:rPr>
          <w:rFonts w:cs="Arial"/>
          <w:sz w:val="22"/>
          <w:szCs w:val="22"/>
        </w:rPr>
        <w:fldChar w:fldCharType="separate"/>
      </w:r>
      <w:r w:rsidRPr="001D762E">
        <w:rPr>
          <w:rFonts w:eastAsia="Times New Roman" w:cs="Arial"/>
          <w:color w:val="1155CC"/>
          <w:sz w:val="22"/>
          <w:szCs w:val="22"/>
          <w:u w:val="single"/>
          <w:lang w:val="es-ES" w:eastAsia="es-MX"/>
        </w:rPr>
        <w:t>neu8ro-logo@yahoo.com</w:t>
      </w:r>
      <w:r w:rsidR="00C118DF" w:rsidRPr="001D762E">
        <w:rPr>
          <w:rFonts w:eastAsia="Times New Roman" w:cs="Arial"/>
          <w:color w:val="1155CC"/>
          <w:sz w:val="22"/>
          <w:szCs w:val="22"/>
          <w:u w:val="single"/>
          <w:lang w:val="es-ES" w:eastAsia="es-MX"/>
        </w:rPr>
        <w:fldChar w:fldCharType="end"/>
      </w:r>
    </w:p>
    <w:p w14:paraId="46D2168C" w14:textId="77777777" w:rsidR="00E663B7" w:rsidRPr="001D762E"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rFonts w:cs="Arial"/>
          <w:color w:val="FF0000"/>
          <w:sz w:val="22"/>
          <w:szCs w:val="22"/>
          <w:lang w:val="es-MX"/>
        </w:rPr>
      </w:pPr>
    </w:p>
    <w:p w14:paraId="760F9526" w14:textId="77777777" w:rsidR="00DB0B01" w:rsidRDefault="00DB0B01">
      <w:pPr>
        <w:rPr>
          <w:rFonts w:ascii="Arial Bold" w:hAnsi="Arial Bold"/>
          <w:sz w:val="22"/>
          <w:szCs w:val="20"/>
          <w:lang w:eastAsia="es-ES"/>
        </w:rPr>
      </w:pPr>
      <w:r>
        <w:rPr>
          <w:rFonts w:ascii="Arial Bold" w:hAnsi="Arial Bold"/>
          <w:sz w:val="22"/>
        </w:rPr>
        <w:br w:type="page"/>
      </w:r>
    </w:p>
    <w:p w14:paraId="0E4E2595" w14:textId="106461FB" w:rsidR="00E663B7" w:rsidRDefault="00E663B7" w:rsidP="00DB0B01">
      <w:pPr>
        <w:pStyle w:val="Ttul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lang w:val="es-ES_tradnl"/>
        </w:rPr>
      </w:pPr>
      <w:r>
        <w:rPr>
          <w:rFonts w:ascii="Arial Bold" w:hAnsi="Arial Bold"/>
          <w:sz w:val="22"/>
          <w:lang w:val="es-ES_tradnl"/>
        </w:rPr>
        <w:lastRenderedPageBreak/>
        <w:t>[PÁGINA DE TÍTULO]</w:t>
      </w:r>
    </w:p>
    <w:p w14:paraId="67047934" w14:textId="77777777" w:rsidR="00E663B7" w:rsidRDefault="00E663B7">
      <w:pPr>
        <w:pStyle w:val="Ttul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left"/>
        <w:rPr>
          <w:rFonts w:ascii="Arial Bold" w:hAnsi="Arial Bold"/>
          <w:sz w:val="22"/>
          <w:lang w:val="es-ES_tradnl"/>
        </w:rPr>
      </w:pPr>
    </w:p>
    <w:p w14:paraId="31AAA2F2" w14:textId="77777777" w:rsidR="00E663B7" w:rsidRDefault="00E663B7">
      <w:pPr>
        <w:pStyle w:val="Ttul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left"/>
        <w:rPr>
          <w:rFonts w:ascii="Arial Bold" w:hAnsi="Arial Bold"/>
          <w:sz w:val="22"/>
          <w:lang w:val="es-ES_tradnl"/>
        </w:rPr>
      </w:pPr>
    </w:p>
    <w:p w14:paraId="7A39FCB2" w14:textId="77777777" w:rsidR="00E663B7" w:rsidRDefault="00E663B7">
      <w:pPr>
        <w:pStyle w:val="Ttul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left"/>
        <w:rPr>
          <w:sz w:val="22"/>
          <w:lang w:val="es-ES_tradnl"/>
        </w:rPr>
      </w:pPr>
      <w:r>
        <w:rPr>
          <w:rFonts w:ascii="Arial Bold" w:hAnsi="Arial Bold"/>
          <w:sz w:val="22"/>
          <w:lang w:val="es-ES_tradnl"/>
        </w:rPr>
        <w:t xml:space="preserve">Tipo de artículo: </w:t>
      </w:r>
      <w:r>
        <w:rPr>
          <w:rFonts w:ascii="Arial" w:hAnsi="Arial"/>
          <w:sz w:val="22"/>
          <w:lang w:val="es-ES_tradnl"/>
        </w:rPr>
        <w:t>Contribución original</w:t>
      </w:r>
    </w:p>
    <w:p w14:paraId="1DA03041" w14:textId="77777777" w:rsidR="00E663B7"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rPr>
      </w:pPr>
    </w:p>
    <w:p w14:paraId="2567DD32" w14:textId="77777777" w:rsidR="00E663B7" w:rsidRDefault="00E663B7">
      <w:pPr>
        <w:pStyle w:val="Ttul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left"/>
        <w:rPr>
          <w:rFonts w:ascii="Arial" w:hAnsi="Arial"/>
          <w:sz w:val="22"/>
          <w:lang w:val="es-ES_tradnl"/>
        </w:rPr>
      </w:pPr>
      <w:r>
        <w:rPr>
          <w:rFonts w:ascii="Arial Bold" w:hAnsi="Arial Bold"/>
          <w:sz w:val="22"/>
          <w:lang w:val="es-ES_tradnl"/>
        </w:rPr>
        <w:t xml:space="preserve">Título: </w:t>
      </w:r>
      <w:r w:rsidR="002A614B" w:rsidRPr="002A614B">
        <w:rPr>
          <w:rFonts w:ascii="Arial" w:hAnsi="Arial"/>
          <w:sz w:val="22"/>
          <w:lang w:val="es-ES_tradnl"/>
        </w:rPr>
        <w:t>Síndrome de Guillain-Barré en un hospital de referencia en México</w:t>
      </w:r>
    </w:p>
    <w:p w14:paraId="74C2C3F5" w14:textId="77777777" w:rsidR="008F723C" w:rsidRDefault="008F723C">
      <w:pPr>
        <w:pStyle w:val="Ttul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left"/>
        <w:rPr>
          <w:rFonts w:ascii="Arial" w:hAnsi="Arial"/>
          <w:sz w:val="22"/>
          <w:lang w:val="es-ES_tradnl"/>
        </w:rPr>
      </w:pPr>
    </w:p>
    <w:p w14:paraId="6EE489C8" w14:textId="640CDCAD" w:rsidR="008F723C" w:rsidRDefault="008F723C">
      <w:pPr>
        <w:pStyle w:val="Ttul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left"/>
        <w:rPr>
          <w:rFonts w:ascii="Arial Bold" w:hAnsi="Arial Bold"/>
          <w:sz w:val="22"/>
          <w:lang w:val="es-ES_tradnl"/>
        </w:rPr>
      </w:pPr>
      <w:r>
        <w:rPr>
          <w:rFonts w:ascii="Arial Bold" w:hAnsi="Arial Bold"/>
          <w:sz w:val="22"/>
          <w:lang w:val="es-ES_tradnl"/>
        </w:rPr>
        <w:t xml:space="preserve">Título en inglés: </w:t>
      </w:r>
      <w:r w:rsidRPr="008F723C">
        <w:rPr>
          <w:rFonts w:ascii="Arial" w:hAnsi="Arial"/>
          <w:sz w:val="22"/>
          <w:lang w:val="es-ES_tradnl"/>
        </w:rPr>
        <w:t>Guillain-Barré syndrome in a referral hospital in Mexico</w:t>
      </w:r>
    </w:p>
    <w:p w14:paraId="1C9D87C1" w14:textId="77777777" w:rsidR="00E663B7"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626DC09E" w14:textId="77777777" w:rsidR="00E663B7"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r>
        <w:rPr>
          <w:rFonts w:ascii="Arial Bold" w:hAnsi="Arial Bold"/>
          <w:sz w:val="22"/>
        </w:rPr>
        <w:t xml:space="preserve">Título corto (palabras de cabecera): </w:t>
      </w:r>
      <w:r w:rsidR="002A614B">
        <w:rPr>
          <w:sz w:val="22"/>
        </w:rPr>
        <w:t>Guillain-Barré en un hospital de referencia</w:t>
      </w:r>
    </w:p>
    <w:p w14:paraId="67B0A429" w14:textId="77777777" w:rsidR="00E663B7" w:rsidRDefault="00E663B7" w:rsidP="00531C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color w:val="FB0006"/>
          <w:sz w:val="22"/>
        </w:rPr>
      </w:pPr>
    </w:p>
    <w:p w14:paraId="7E96AB9B" w14:textId="77777777" w:rsidR="00E663B7" w:rsidRPr="002A49DC"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color w:val="auto"/>
          <w:sz w:val="22"/>
        </w:rPr>
      </w:pPr>
      <w:r w:rsidRPr="002A49DC">
        <w:rPr>
          <w:rFonts w:ascii="Arial Bold" w:hAnsi="Arial Bold"/>
          <w:color w:val="auto"/>
          <w:sz w:val="22"/>
        </w:rPr>
        <w:t>Cuenta de palabras en el resumen:</w:t>
      </w:r>
      <w:r w:rsidR="00DA2430" w:rsidRPr="002A49DC">
        <w:rPr>
          <w:color w:val="auto"/>
          <w:sz w:val="22"/>
        </w:rPr>
        <w:t xml:space="preserve"> 268</w:t>
      </w:r>
    </w:p>
    <w:p w14:paraId="75425D08" w14:textId="77777777" w:rsidR="00E663B7" w:rsidRPr="002A49DC"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color w:val="auto"/>
          <w:sz w:val="22"/>
        </w:rPr>
      </w:pPr>
    </w:p>
    <w:p w14:paraId="0DF7E256" w14:textId="39199D5F" w:rsidR="00E663B7" w:rsidRPr="002A49DC"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color w:val="auto"/>
          <w:sz w:val="22"/>
        </w:rPr>
      </w:pPr>
      <w:r w:rsidRPr="002A49DC">
        <w:rPr>
          <w:rFonts w:ascii="Arial Bold" w:hAnsi="Arial Bold"/>
          <w:color w:val="auto"/>
          <w:sz w:val="22"/>
        </w:rPr>
        <w:t>Cuenta de palabras en el</w:t>
      </w:r>
      <w:r w:rsidR="00531C5A">
        <w:rPr>
          <w:rFonts w:ascii="Arial Bold" w:hAnsi="Arial Bold"/>
          <w:color w:val="auto"/>
          <w:sz w:val="22"/>
        </w:rPr>
        <w:t xml:space="preserve"> abstract</w:t>
      </w:r>
      <w:bookmarkStart w:id="0" w:name="_GoBack"/>
      <w:bookmarkEnd w:id="0"/>
      <w:r w:rsidRPr="00531C5A">
        <w:rPr>
          <w:rFonts w:ascii="Arial Bold" w:hAnsi="Arial Bold"/>
          <w:color w:val="auto"/>
          <w:sz w:val="22"/>
        </w:rPr>
        <w:t>:</w:t>
      </w:r>
      <w:r w:rsidRPr="002A49DC">
        <w:rPr>
          <w:rFonts w:ascii="Arial Bold" w:hAnsi="Arial Bold"/>
          <w:color w:val="auto"/>
          <w:sz w:val="22"/>
        </w:rPr>
        <w:t xml:space="preserve"> </w:t>
      </w:r>
      <w:r w:rsidR="002A49DC" w:rsidRPr="002A49DC">
        <w:rPr>
          <w:color w:val="auto"/>
          <w:sz w:val="22"/>
        </w:rPr>
        <w:t>251</w:t>
      </w:r>
    </w:p>
    <w:p w14:paraId="79B2BC67" w14:textId="77777777" w:rsidR="00E663B7" w:rsidRPr="002A49DC"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color w:val="auto"/>
          <w:sz w:val="22"/>
        </w:rPr>
      </w:pPr>
    </w:p>
    <w:p w14:paraId="58F2C057" w14:textId="26B71CBB" w:rsidR="00E663B7" w:rsidRPr="002A49DC"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color w:val="auto"/>
          <w:sz w:val="22"/>
        </w:rPr>
      </w:pPr>
      <w:r w:rsidRPr="002A49DC">
        <w:rPr>
          <w:rFonts w:ascii="Arial Bold" w:hAnsi="Arial Bold"/>
          <w:color w:val="auto"/>
          <w:sz w:val="22"/>
        </w:rPr>
        <w:t xml:space="preserve">Cuenta de palabras del texto: </w:t>
      </w:r>
      <w:r w:rsidR="002A49DC" w:rsidRPr="002A49DC">
        <w:rPr>
          <w:color w:val="auto"/>
          <w:sz w:val="22"/>
        </w:rPr>
        <w:t>2644</w:t>
      </w:r>
    </w:p>
    <w:p w14:paraId="73C9AC6F" w14:textId="77777777" w:rsidR="008C4809" w:rsidRPr="002A49DC" w:rsidRDefault="008C48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color w:val="auto"/>
          <w:sz w:val="22"/>
        </w:rPr>
      </w:pPr>
    </w:p>
    <w:p w14:paraId="1AE90E92" w14:textId="77777777" w:rsidR="00E663B7" w:rsidRPr="002A49DC"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color w:val="auto"/>
          <w:sz w:val="22"/>
        </w:rPr>
      </w:pPr>
      <w:r w:rsidRPr="002A49DC">
        <w:rPr>
          <w:rFonts w:ascii="Arial Bold" w:hAnsi="Arial Bold"/>
          <w:color w:val="auto"/>
          <w:sz w:val="22"/>
        </w:rPr>
        <w:t>Número de tab</w:t>
      </w:r>
      <w:r w:rsidR="00DA2430" w:rsidRPr="002A49DC">
        <w:rPr>
          <w:rFonts w:ascii="Arial Bold" w:hAnsi="Arial Bold"/>
          <w:color w:val="auto"/>
          <w:sz w:val="22"/>
        </w:rPr>
        <w:t xml:space="preserve">las: </w:t>
      </w:r>
      <w:r w:rsidR="00DA2430" w:rsidRPr="00191A73">
        <w:rPr>
          <w:color w:val="auto"/>
          <w:sz w:val="22"/>
        </w:rPr>
        <w:t>1</w:t>
      </w:r>
    </w:p>
    <w:p w14:paraId="79E0AE68" w14:textId="77777777" w:rsidR="00E663B7" w:rsidRPr="002A49DC"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color w:val="auto"/>
          <w:sz w:val="22"/>
        </w:rPr>
      </w:pPr>
    </w:p>
    <w:p w14:paraId="3B8FD4E7" w14:textId="77777777" w:rsidR="00E663B7" w:rsidRPr="002A49DC"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color w:val="auto"/>
          <w:sz w:val="22"/>
        </w:rPr>
      </w:pPr>
      <w:r w:rsidRPr="002A49DC">
        <w:rPr>
          <w:rFonts w:ascii="Arial Bold" w:hAnsi="Arial Bold"/>
          <w:color w:val="auto"/>
          <w:sz w:val="22"/>
        </w:rPr>
        <w:t xml:space="preserve">Número de figuras: </w:t>
      </w:r>
      <w:r w:rsidR="00DA2430" w:rsidRPr="00191A73">
        <w:rPr>
          <w:color w:val="auto"/>
          <w:sz w:val="22"/>
        </w:rPr>
        <w:t>4</w:t>
      </w:r>
    </w:p>
    <w:p w14:paraId="17E764FB" w14:textId="77777777" w:rsidR="00E663B7" w:rsidRPr="008C4809"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color w:val="FF0000"/>
          <w:sz w:val="22"/>
        </w:rPr>
      </w:pPr>
    </w:p>
    <w:p w14:paraId="2319BA77" w14:textId="77777777" w:rsidR="00E663B7"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rPr>
      </w:pPr>
    </w:p>
    <w:p w14:paraId="1538E8C9" w14:textId="77777777" w:rsidR="00DB0B01" w:rsidRDefault="00DB0B01">
      <w:pPr>
        <w:rPr>
          <w:rFonts w:ascii="Arial Bold" w:hAnsi="Arial Bold"/>
          <w:sz w:val="22"/>
        </w:rPr>
      </w:pPr>
      <w:r>
        <w:rPr>
          <w:rFonts w:ascii="Arial Bold" w:hAnsi="Arial Bold"/>
          <w:sz w:val="22"/>
        </w:rPr>
        <w:br w:type="page"/>
      </w:r>
    </w:p>
    <w:p w14:paraId="715BA5E7" w14:textId="4ED9D122" w:rsidR="00E663B7" w:rsidRPr="00D512F7" w:rsidRDefault="00E663B7" w:rsidP="00DB0B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rFonts w:ascii="Arial Bold" w:hAnsi="Arial Bold"/>
          <w:sz w:val="22"/>
        </w:rPr>
      </w:pPr>
      <w:r>
        <w:rPr>
          <w:rFonts w:ascii="Arial Bold" w:hAnsi="Arial Bold"/>
          <w:caps/>
          <w:sz w:val="22"/>
        </w:rPr>
        <w:lastRenderedPageBreak/>
        <w:t>[RESUMEN]</w:t>
      </w:r>
    </w:p>
    <w:p w14:paraId="63F88C0C" w14:textId="0047225E" w:rsidR="00E663B7" w:rsidRDefault="00531C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r>
        <w:rPr>
          <w:rFonts w:ascii="Arial Bold" w:hAnsi="Arial Bold"/>
          <w:sz w:val="22"/>
        </w:rPr>
        <w:t xml:space="preserve">INTRODUCCIÓN: </w:t>
      </w:r>
      <w:r w:rsidR="008C4809">
        <w:rPr>
          <w:sz w:val="22"/>
        </w:rPr>
        <w:t>El síndrome de Guillain-Barré (SGB)</w:t>
      </w:r>
      <w:r w:rsidR="00C90BFC">
        <w:rPr>
          <w:sz w:val="22"/>
        </w:rPr>
        <w:t xml:space="preserve"> podría tener una frecuencia,</w:t>
      </w:r>
      <w:r w:rsidR="00620BCF">
        <w:rPr>
          <w:sz w:val="22"/>
        </w:rPr>
        <w:t xml:space="preserve"> presentación clínica </w:t>
      </w:r>
      <w:r w:rsidR="00C90BFC">
        <w:rPr>
          <w:sz w:val="22"/>
        </w:rPr>
        <w:t xml:space="preserve">y neurofisiológica </w:t>
      </w:r>
      <w:r w:rsidR="00AB6875">
        <w:rPr>
          <w:sz w:val="22"/>
        </w:rPr>
        <w:t xml:space="preserve">en </w:t>
      </w:r>
      <w:r w:rsidR="00D931EE">
        <w:rPr>
          <w:sz w:val="22"/>
        </w:rPr>
        <w:t>la</w:t>
      </w:r>
      <w:r w:rsidR="00AB6875">
        <w:rPr>
          <w:sz w:val="22"/>
        </w:rPr>
        <w:t xml:space="preserve"> población mestiza </w:t>
      </w:r>
      <w:r w:rsidR="00620BCF">
        <w:rPr>
          <w:sz w:val="22"/>
        </w:rPr>
        <w:t>dis</w:t>
      </w:r>
      <w:r w:rsidR="00EA6E9E">
        <w:rPr>
          <w:sz w:val="22"/>
        </w:rPr>
        <w:t>tinta</w:t>
      </w:r>
      <w:r w:rsidR="00C90BFC">
        <w:rPr>
          <w:sz w:val="22"/>
        </w:rPr>
        <w:t>s</w:t>
      </w:r>
      <w:r w:rsidR="00EA6E9E">
        <w:rPr>
          <w:sz w:val="22"/>
        </w:rPr>
        <w:t xml:space="preserve"> a la</w:t>
      </w:r>
      <w:r w:rsidR="00C90BFC">
        <w:rPr>
          <w:sz w:val="22"/>
        </w:rPr>
        <w:t>s</w:t>
      </w:r>
      <w:r w:rsidR="00EA6E9E">
        <w:rPr>
          <w:sz w:val="22"/>
        </w:rPr>
        <w:t xml:space="preserve"> que se reporta en </w:t>
      </w:r>
      <w:r w:rsidR="00AB6875">
        <w:rPr>
          <w:sz w:val="22"/>
        </w:rPr>
        <w:t>caucásicos</w:t>
      </w:r>
      <w:r w:rsidR="00EA6E9E">
        <w:rPr>
          <w:sz w:val="22"/>
        </w:rPr>
        <w:t xml:space="preserve">. Sin embargo, </w:t>
      </w:r>
      <w:r w:rsidR="00C90BFC">
        <w:rPr>
          <w:sz w:val="22"/>
        </w:rPr>
        <w:t xml:space="preserve">la información sobre SGB en países de </w:t>
      </w:r>
      <w:r w:rsidR="00AA4127">
        <w:rPr>
          <w:sz w:val="22"/>
        </w:rPr>
        <w:t>Latinoamérica</w:t>
      </w:r>
      <w:r w:rsidR="00C90BFC">
        <w:rPr>
          <w:sz w:val="22"/>
        </w:rPr>
        <w:t xml:space="preserve"> es aún </w:t>
      </w:r>
      <w:r w:rsidR="008B0F2A">
        <w:rPr>
          <w:sz w:val="22"/>
        </w:rPr>
        <w:t>escasa</w:t>
      </w:r>
      <w:r w:rsidR="00E663B7">
        <w:rPr>
          <w:sz w:val="22"/>
        </w:rPr>
        <w:t>.</w:t>
      </w:r>
    </w:p>
    <w:p w14:paraId="51218F63" w14:textId="09B4AB44" w:rsidR="00E663B7" w:rsidRDefault="00531C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r>
        <w:rPr>
          <w:rFonts w:ascii="Arial Bold" w:hAnsi="Arial Bold"/>
          <w:sz w:val="22"/>
        </w:rPr>
        <w:t xml:space="preserve">OBJETIVO: </w:t>
      </w:r>
      <w:r w:rsidR="001E6F5F" w:rsidRPr="001E6F5F">
        <w:rPr>
          <w:rStyle w:val="hps"/>
          <w:sz w:val="22"/>
        </w:rPr>
        <w:t xml:space="preserve">Describir las variantes neurofisiológicas y las características de los pacientes con SGB en </w:t>
      </w:r>
      <w:r w:rsidR="00E7360F">
        <w:rPr>
          <w:rStyle w:val="hps"/>
          <w:sz w:val="22"/>
        </w:rPr>
        <w:t>un hospital de concentración d</w:t>
      </w:r>
      <w:r w:rsidR="001E6F5F" w:rsidRPr="001E6F5F">
        <w:rPr>
          <w:rStyle w:val="hps"/>
          <w:sz w:val="22"/>
        </w:rPr>
        <w:t>el estado de Tabasco, México.</w:t>
      </w:r>
    </w:p>
    <w:p w14:paraId="0F869971" w14:textId="6D41D9CC" w:rsidR="00E663B7" w:rsidRDefault="00531C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r>
        <w:rPr>
          <w:rFonts w:ascii="Arial Bold" w:hAnsi="Arial Bold"/>
          <w:sz w:val="22"/>
        </w:rPr>
        <w:t xml:space="preserve">MÉTODOS: </w:t>
      </w:r>
      <w:r w:rsidR="001E6F5F" w:rsidRPr="001E6F5F">
        <w:rPr>
          <w:sz w:val="22"/>
        </w:rPr>
        <w:t xml:space="preserve">Realizamos un análisis de tipo </w:t>
      </w:r>
      <w:r w:rsidR="00902762">
        <w:rPr>
          <w:sz w:val="22"/>
        </w:rPr>
        <w:t>descriptivo</w:t>
      </w:r>
      <w:r w:rsidR="001E6F5F" w:rsidRPr="001E6F5F">
        <w:rPr>
          <w:sz w:val="22"/>
        </w:rPr>
        <w:t xml:space="preserve"> y retrospectivo de los </w:t>
      </w:r>
      <w:r w:rsidR="001E6F5F">
        <w:rPr>
          <w:sz w:val="22"/>
        </w:rPr>
        <w:t xml:space="preserve">registros clínicos de </w:t>
      </w:r>
      <w:r w:rsidR="001E6F5F" w:rsidRPr="001E6F5F">
        <w:rPr>
          <w:sz w:val="22"/>
        </w:rPr>
        <w:t xml:space="preserve">pacientes con diagnóstico </w:t>
      </w:r>
      <w:r w:rsidR="001E6F5F">
        <w:rPr>
          <w:sz w:val="22"/>
        </w:rPr>
        <w:t>de SGB, atendidos de febrero de 2004 a febrero 2010. S</w:t>
      </w:r>
      <w:r w:rsidR="001E6F5F" w:rsidRPr="001E6F5F">
        <w:rPr>
          <w:sz w:val="22"/>
        </w:rPr>
        <w:t xml:space="preserve">e analizaron características clínicas, </w:t>
      </w:r>
      <w:r w:rsidR="001E6F5F">
        <w:rPr>
          <w:sz w:val="22"/>
        </w:rPr>
        <w:t>neurofisiológicas</w:t>
      </w:r>
      <w:r w:rsidR="00D8037D">
        <w:rPr>
          <w:sz w:val="22"/>
        </w:rPr>
        <w:t xml:space="preserve"> (criterios de Asbury)</w:t>
      </w:r>
      <w:r w:rsidR="001E6F5F">
        <w:rPr>
          <w:sz w:val="22"/>
        </w:rPr>
        <w:t>, terapéutica empleada</w:t>
      </w:r>
      <w:r w:rsidR="001E6F5F" w:rsidRPr="001E6F5F">
        <w:rPr>
          <w:sz w:val="22"/>
        </w:rPr>
        <w:t xml:space="preserve"> y evolu</w:t>
      </w:r>
      <w:r w:rsidR="001E6F5F">
        <w:rPr>
          <w:sz w:val="22"/>
        </w:rPr>
        <w:t>ción a corto plazo</w:t>
      </w:r>
      <w:r w:rsidR="001E6F5F" w:rsidRPr="001E6F5F">
        <w:rPr>
          <w:sz w:val="22"/>
        </w:rPr>
        <w:t xml:space="preserve">. </w:t>
      </w:r>
    </w:p>
    <w:p w14:paraId="39B93AAD" w14:textId="3A81E7DA" w:rsidR="00E663B7" w:rsidRPr="00EC6854" w:rsidRDefault="00531C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color w:val="auto"/>
          <w:sz w:val="22"/>
        </w:rPr>
      </w:pPr>
      <w:r>
        <w:rPr>
          <w:rFonts w:ascii="Arial Bold" w:hAnsi="Arial Bold"/>
          <w:sz w:val="22"/>
        </w:rPr>
        <w:t xml:space="preserve">RESULTADOS: </w:t>
      </w:r>
      <w:r w:rsidR="00B03D6E" w:rsidRPr="00B03D6E">
        <w:rPr>
          <w:sz w:val="22"/>
        </w:rPr>
        <w:t xml:space="preserve">Se incluyeron 25 pacientes </w:t>
      </w:r>
      <w:r w:rsidR="00892792">
        <w:rPr>
          <w:sz w:val="22"/>
        </w:rPr>
        <w:t>(</w:t>
      </w:r>
      <w:r w:rsidR="00EC5202">
        <w:rPr>
          <w:sz w:val="22"/>
        </w:rPr>
        <w:t>edad media:</w:t>
      </w:r>
      <w:r w:rsidR="00B03D6E" w:rsidRPr="00B03D6E">
        <w:rPr>
          <w:sz w:val="22"/>
        </w:rPr>
        <w:t xml:space="preserve"> 38.0 </w:t>
      </w:r>
      <w:r w:rsidR="00892792">
        <w:rPr>
          <w:sz w:val="22"/>
        </w:rPr>
        <w:t>años, rango</w:t>
      </w:r>
      <w:r w:rsidR="00EC5202">
        <w:rPr>
          <w:sz w:val="22"/>
        </w:rPr>
        <w:t>:</w:t>
      </w:r>
      <w:r w:rsidR="00892792">
        <w:rPr>
          <w:sz w:val="22"/>
        </w:rPr>
        <w:t xml:space="preserve"> 18-59 años):</w:t>
      </w:r>
      <w:r w:rsidR="00B03D6E" w:rsidRPr="00B03D6E">
        <w:rPr>
          <w:sz w:val="22"/>
        </w:rPr>
        <w:t xml:space="preserve"> 14 hombres y 11 mujeres. El 56% tuvo antecedente infe</w:t>
      </w:r>
      <w:r w:rsidR="00922743">
        <w:rPr>
          <w:sz w:val="22"/>
        </w:rPr>
        <w:t>ccioso en las 4 semanas previas</w:t>
      </w:r>
      <w:r w:rsidR="00B03D6E" w:rsidRPr="00B03D6E">
        <w:rPr>
          <w:sz w:val="22"/>
        </w:rPr>
        <w:t xml:space="preserve">. El 76% de los pacientes se agrupó en los grados 4 y 5 de la escala de discapacidad funcional </w:t>
      </w:r>
      <w:r w:rsidR="009509E7">
        <w:rPr>
          <w:sz w:val="22"/>
        </w:rPr>
        <w:t xml:space="preserve">de </w:t>
      </w:r>
      <w:r w:rsidR="009509E7" w:rsidRPr="009509E7">
        <w:rPr>
          <w:sz w:val="22"/>
        </w:rPr>
        <w:t xml:space="preserve">Hughes </w:t>
      </w:r>
      <w:r w:rsidR="00B03D6E" w:rsidRPr="00B03D6E">
        <w:rPr>
          <w:sz w:val="22"/>
        </w:rPr>
        <w:t xml:space="preserve">para SGB. Se observó disociación </w:t>
      </w:r>
      <w:r w:rsidR="00444823">
        <w:rPr>
          <w:sz w:val="22"/>
        </w:rPr>
        <w:t>prote</w:t>
      </w:r>
      <w:r w:rsidR="00922743">
        <w:rPr>
          <w:sz w:val="22"/>
        </w:rPr>
        <w:t xml:space="preserve">ino-citológica en el 81%. </w:t>
      </w:r>
      <w:r w:rsidR="00242AD7">
        <w:rPr>
          <w:sz w:val="22"/>
        </w:rPr>
        <w:t>Un</w:t>
      </w:r>
      <w:r w:rsidR="00B03D6E" w:rsidRPr="00B03D6E">
        <w:rPr>
          <w:sz w:val="22"/>
        </w:rPr>
        <w:t xml:space="preserve"> 39.1% correspondió a la variedad </w:t>
      </w:r>
      <w:r w:rsidR="00242AD7">
        <w:rPr>
          <w:sz w:val="22"/>
        </w:rPr>
        <w:t>neurofisiológica de neuropatía axonal sensitivo-</w:t>
      </w:r>
      <w:r w:rsidR="00B03D6E" w:rsidRPr="00B03D6E">
        <w:rPr>
          <w:sz w:val="22"/>
        </w:rPr>
        <w:t>motora aguda (AMSAN), 26.1% a neuropatía axo</w:t>
      </w:r>
      <w:r w:rsidR="00922743">
        <w:rPr>
          <w:sz w:val="22"/>
        </w:rPr>
        <w:t xml:space="preserve">nal motora aguda (AMAN), 26.1% </w:t>
      </w:r>
      <w:r w:rsidR="00B03D6E" w:rsidRPr="00B03D6E">
        <w:rPr>
          <w:sz w:val="22"/>
        </w:rPr>
        <w:t>a polineuropatía desmielinizante inflamatoria ag</w:t>
      </w:r>
      <w:r w:rsidR="000246C5">
        <w:rPr>
          <w:sz w:val="22"/>
        </w:rPr>
        <w:t>uda (AIDP)</w:t>
      </w:r>
      <w:r w:rsidR="00B03D6E" w:rsidRPr="00B03D6E">
        <w:rPr>
          <w:sz w:val="22"/>
        </w:rPr>
        <w:t xml:space="preserve"> y el 8.7% a la variedad </w:t>
      </w:r>
      <w:r w:rsidR="00922743">
        <w:rPr>
          <w:sz w:val="22"/>
        </w:rPr>
        <w:t>de</w:t>
      </w:r>
      <w:r w:rsidR="00B03D6E" w:rsidRPr="00B03D6E">
        <w:rPr>
          <w:sz w:val="22"/>
        </w:rPr>
        <w:t xml:space="preserve"> Miller Fisher. </w:t>
      </w:r>
      <w:r w:rsidR="008C7A3D">
        <w:rPr>
          <w:sz w:val="22"/>
        </w:rPr>
        <w:t xml:space="preserve">El </w:t>
      </w:r>
      <w:r w:rsidR="008C7A3D" w:rsidRPr="00B03D6E">
        <w:rPr>
          <w:sz w:val="22"/>
        </w:rPr>
        <w:t xml:space="preserve">83% de </w:t>
      </w:r>
      <w:r w:rsidR="008C7A3D">
        <w:rPr>
          <w:sz w:val="22"/>
        </w:rPr>
        <w:t xml:space="preserve">los casos de </w:t>
      </w:r>
      <w:r w:rsidR="008C7A3D" w:rsidRPr="00B03D6E">
        <w:rPr>
          <w:sz w:val="22"/>
        </w:rPr>
        <w:t>AIDP</w:t>
      </w:r>
      <w:r w:rsidR="008C7A3D">
        <w:rPr>
          <w:sz w:val="22"/>
        </w:rPr>
        <w:t xml:space="preserve"> se presentaron</w:t>
      </w:r>
      <w:r w:rsidR="008C7A3D" w:rsidRPr="00B03D6E">
        <w:rPr>
          <w:sz w:val="22"/>
        </w:rPr>
        <w:t xml:space="preserve"> en primavera</w:t>
      </w:r>
      <w:r w:rsidR="008C7A3D">
        <w:rPr>
          <w:sz w:val="22"/>
        </w:rPr>
        <w:t xml:space="preserve">. </w:t>
      </w:r>
      <w:r w:rsidR="00B03D6E" w:rsidRPr="00EC6854">
        <w:rPr>
          <w:color w:val="auto"/>
          <w:sz w:val="22"/>
        </w:rPr>
        <w:t xml:space="preserve">Las variedades axonales presentaron estancia hospitalaria </w:t>
      </w:r>
      <w:r w:rsidR="00EC6854">
        <w:rPr>
          <w:color w:val="auto"/>
          <w:sz w:val="22"/>
        </w:rPr>
        <w:t xml:space="preserve">más prolongada </w:t>
      </w:r>
      <w:r w:rsidR="002A7850" w:rsidRPr="00EC6854">
        <w:rPr>
          <w:color w:val="auto"/>
          <w:sz w:val="22"/>
        </w:rPr>
        <w:t xml:space="preserve">(21.7 vs. 10.9 días, p=0.008) </w:t>
      </w:r>
      <w:r w:rsidR="00B03D6E" w:rsidRPr="00EC6854">
        <w:rPr>
          <w:color w:val="auto"/>
          <w:sz w:val="22"/>
        </w:rPr>
        <w:t xml:space="preserve">y </w:t>
      </w:r>
      <w:r w:rsidR="00EC6854">
        <w:rPr>
          <w:color w:val="auto"/>
          <w:sz w:val="22"/>
        </w:rPr>
        <w:t xml:space="preserve">una </w:t>
      </w:r>
      <w:r w:rsidR="00EC6854" w:rsidRPr="00EC6854">
        <w:rPr>
          <w:color w:val="auto"/>
          <w:sz w:val="22"/>
        </w:rPr>
        <w:t>tendencia a mayor necesidad de</w:t>
      </w:r>
      <w:r w:rsidR="00B03D6E" w:rsidRPr="00EC6854">
        <w:rPr>
          <w:color w:val="auto"/>
          <w:sz w:val="22"/>
        </w:rPr>
        <w:t xml:space="preserve"> ventilación mecánica</w:t>
      </w:r>
      <w:r w:rsidR="00C01FCA">
        <w:rPr>
          <w:color w:val="auto"/>
          <w:sz w:val="22"/>
        </w:rPr>
        <w:t xml:space="preserve"> (33.3% vs. 0%, p=0.12</w:t>
      </w:r>
      <w:r w:rsidR="00EC6854" w:rsidRPr="00EC6854">
        <w:rPr>
          <w:color w:val="auto"/>
          <w:sz w:val="22"/>
        </w:rPr>
        <w:t>)</w:t>
      </w:r>
      <w:r w:rsidR="00B03D6E" w:rsidRPr="00EC6854">
        <w:rPr>
          <w:color w:val="auto"/>
          <w:sz w:val="22"/>
        </w:rPr>
        <w:t xml:space="preserve">. </w:t>
      </w:r>
    </w:p>
    <w:p w14:paraId="120CC249" w14:textId="07AF26BF" w:rsidR="00E663B7" w:rsidRDefault="00531C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r>
        <w:rPr>
          <w:rFonts w:ascii="Arial Bold" w:hAnsi="Arial Bold"/>
          <w:sz w:val="22"/>
        </w:rPr>
        <w:t>CONCLUSIONES:</w:t>
      </w:r>
      <w:r>
        <w:rPr>
          <w:sz w:val="22"/>
        </w:rPr>
        <w:t xml:space="preserve"> </w:t>
      </w:r>
      <w:r w:rsidR="00305BCB">
        <w:rPr>
          <w:sz w:val="22"/>
        </w:rPr>
        <w:t xml:space="preserve">Se observaron algunas diferencias respecto a lo informado en países occidentales, entre ellas, una </w:t>
      </w:r>
      <w:r w:rsidR="00304820">
        <w:rPr>
          <w:sz w:val="22"/>
        </w:rPr>
        <w:t xml:space="preserve">alta </w:t>
      </w:r>
      <w:r w:rsidR="00305BCB">
        <w:rPr>
          <w:sz w:val="22"/>
        </w:rPr>
        <w:t xml:space="preserve">frecuencia de variantes axonales, </w:t>
      </w:r>
      <w:r w:rsidR="00D15543">
        <w:rPr>
          <w:sz w:val="22"/>
        </w:rPr>
        <w:t xml:space="preserve">que fueron </w:t>
      </w:r>
      <w:r w:rsidR="001561E3">
        <w:rPr>
          <w:sz w:val="22"/>
        </w:rPr>
        <w:t>más severas y</w:t>
      </w:r>
      <w:r w:rsidR="00D15543">
        <w:rPr>
          <w:sz w:val="22"/>
        </w:rPr>
        <w:t xml:space="preserve"> </w:t>
      </w:r>
      <w:r w:rsidR="00305BCB">
        <w:rPr>
          <w:sz w:val="22"/>
        </w:rPr>
        <w:t xml:space="preserve">que implicaron </w:t>
      </w:r>
      <w:r w:rsidR="00B03D6E" w:rsidRPr="00B03D6E">
        <w:rPr>
          <w:sz w:val="22"/>
        </w:rPr>
        <w:t>mayor tiempo de estancia hospitalaria</w:t>
      </w:r>
      <w:r w:rsidR="00304820">
        <w:rPr>
          <w:sz w:val="22"/>
        </w:rPr>
        <w:t>.</w:t>
      </w:r>
    </w:p>
    <w:p w14:paraId="0E863048" w14:textId="77777777" w:rsidR="00EC5202" w:rsidRDefault="00EC5202" w:rsidP="00C00B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rFonts w:ascii="Arial Bold" w:hAnsi="Arial Bold"/>
          <w:sz w:val="22"/>
        </w:rPr>
      </w:pPr>
    </w:p>
    <w:p w14:paraId="4CF6F1C1" w14:textId="0A65D34B" w:rsidR="00E663B7" w:rsidRDefault="00531C5A" w:rsidP="00531C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r>
        <w:rPr>
          <w:rFonts w:ascii="Arial Bold" w:hAnsi="Arial Bold"/>
          <w:sz w:val="22"/>
        </w:rPr>
        <w:t>PALABRAS CLAVE:</w:t>
      </w:r>
      <w:r>
        <w:rPr>
          <w:sz w:val="22"/>
        </w:rPr>
        <w:t xml:space="preserve"> </w:t>
      </w:r>
      <w:r w:rsidR="00845D7E">
        <w:rPr>
          <w:sz w:val="22"/>
        </w:rPr>
        <w:t xml:space="preserve">Arreflexia, Guillain-Barré, hiporreflexia, </w:t>
      </w:r>
      <w:r w:rsidR="00632657">
        <w:rPr>
          <w:sz w:val="22"/>
        </w:rPr>
        <w:t xml:space="preserve">neurofisiología, </w:t>
      </w:r>
      <w:r w:rsidR="00845D7E">
        <w:rPr>
          <w:sz w:val="22"/>
        </w:rPr>
        <w:t>pará</w:t>
      </w:r>
      <w:r w:rsidR="00632657">
        <w:rPr>
          <w:sz w:val="22"/>
        </w:rPr>
        <w:t>lisis</w:t>
      </w:r>
      <w:r w:rsidR="00E663B7">
        <w:rPr>
          <w:sz w:val="22"/>
        </w:rPr>
        <w:t>.</w:t>
      </w:r>
    </w:p>
    <w:p w14:paraId="7E8DB7CC" w14:textId="77777777" w:rsidR="00DB0B01" w:rsidRDefault="00DB0B01">
      <w:pPr>
        <w:rPr>
          <w:rFonts w:ascii="Arial Bold" w:hAnsi="Arial Bold"/>
          <w:caps/>
          <w:sz w:val="22"/>
        </w:rPr>
      </w:pPr>
      <w:r>
        <w:rPr>
          <w:rFonts w:ascii="Arial Bold" w:hAnsi="Arial Bold"/>
          <w:caps/>
          <w:sz w:val="22"/>
        </w:rPr>
        <w:br w:type="page"/>
      </w:r>
    </w:p>
    <w:p w14:paraId="38247B0E" w14:textId="1E5A0565" w:rsidR="00E663B7" w:rsidRDefault="00E663B7" w:rsidP="00DB0B01">
      <w:pPr>
        <w:spacing w:line="480" w:lineRule="auto"/>
        <w:jc w:val="center"/>
        <w:rPr>
          <w:rFonts w:ascii="Arial Bold" w:hAnsi="Arial Bold"/>
          <w:caps/>
          <w:sz w:val="22"/>
          <w:lang w:val="en-US"/>
        </w:rPr>
      </w:pPr>
      <w:r w:rsidRPr="00531C5A">
        <w:rPr>
          <w:rFonts w:ascii="Arial Bold" w:hAnsi="Arial Bold"/>
          <w:caps/>
          <w:sz w:val="22"/>
          <w:lang w:val="en-US"/>
        </w:rPr>
        <w:lastRenderedPageBreak/>
        <w:t>[ABSTRACT]</w:t>
      </w:r>
    </w:p>
    <w:p w14:paraId="455E804E" w14:textId="77777777" w:rsidR="00531C5A" w:rsidRPr="00531C5A" w:rsidRDefault="00531C5A" w:rsidP="00DB0B01">
      <w:pPr>
        <w:spacing w:line="480" w:lineRule="auto"/>
        <w:jc w:val="center"/>
        <w:rPr>
          <w:rFonts w:ascii="Arial Bold" w:hAnsi="Arial Bold"/>
          <w:caps/>
          <w:sz w:val="22"/>
          <w:lang w:val="en-US"/>
        </w:rPr>
      </w:pPr>
    </w:p>
    <w:p w14:paraId="785D1F65" w14:textId="278A5CE7" w:rsidR="00531C5A" w:rsidRDefault="0033024F" w:rsidP="00531C5A">
      <w:pPr>
        <w:spacing w:line="480" w:lineRule="auto"/>
        <w:jc w:val="center"/>
      </w:pPr>
      <w:r w:rsidRPr="00531C5A">
        <w:rPr>
          <w:b/>
          <w:sz w:val="22"/>
        </w:rPr>
        <w:t>Guillain-Barré syndrome in a referral hospital in Mexico</w:t>
      </w:r>
      <w:r w:rsidR="00531C5A" w:rsidRPr="00531C5A">
        <w:t xml:space="preserve"> </w:t>
      </w:r>
    </w:p>
    <w:p w14:paraId="553AA1D0" w14:textId="77777777" w:rsidR="00531C5A" w:rsidRDefault="00531C5A" w:rsidP="00531C5A">
      <w:pPr>
        <w:spacing w:line="480" w:lineRule="auto"/>
        <w:jc w:val="center"/>
      </w:pPr>
    </w:p>
    <w:p w14:paraId="08F4C75B" w14:textId="26581495" w:rsidR="00531C5A" w:rsidRPr="00531C5A" w:rsidRDefault="00531C5A" w:rsidP="00531C5A">
      <w:pPr>
        <w:spacing w:line="480" w:lineRule="auto"/>
        <w:rPr>
          <w:sz w:val="22"/>
        </w:rPr>
      </w:pPr>
      <w:r w:rsidRPr="00531C5A">
        <w:rPr>
          <w:b/>
          <w:sz w:val="22"/>
        </w:rPr>
        <w:t>INTRODUCTION:</w:t>
      </w:r>
      <w:r w:rsidRPr="00531C5A">
        <w:rPr>
          <w:sz w:val="22"/>
        </w:rPr>
        <w:t xml:space="preserve"> </w:t>
      </w:r>
      <w:r w:rsidRPr="00531C5A">
        <w:rPr>
          <w:sz w:val="22"/>
        </w:rPr>
        <w:t>Guillain-Barré syndrome (GBS) could have a different frequency, as well as clinical and neurophysiological presentation in the mestizo population, as compared with Caucasians. However, information on GBS in Latin America is scarce.</w:t>
      </w:r>
    </w:p>
    <w:p w14:paraId="3190B23F" w14:textId="3F77953F" w:rsidR="00531C5A" w:rsidRPr="00531C5A" w:rsidRDefault="00531C5A" w:rsidP="00531C5A">
      <w:pPr>
        <w:spacing w:line="480" w:lineRule="auto"/>
        <w:rPr>
          <w:sz w:val="22"/>
        </w:rPr>
      </w:pPr>
      <w:r w:rsidRPr="00531C5A">
        <w:rPr>
          <w:b/>
          <w:color w:val="auto"/>
          <w:sz w:val="22"/>
        </w:rPr>
        <w:t>OBJECTIVE:</w:t>
      </w:r>
      <w:r w:rsidRPr="00531C5A">
        <w:rPr>
          <w:sz w:val="22"/>
        </w:rPr>
        <w:t xml:space="preserve"> </w:t>
      </w:r>
      <w:r w:rsidRPr="00531C5A">
        <w:rPr>
          <w:sz w:val="22"/>
        </w:rPr>
        <w:t>To describe the neurophysiological variants and clinical characteristics of GBS patients of a reference hospital from Mexico.</w:t>
      </w:r>
    </w:p>
    <w:p w14:paraId="1712D99B" w14:textId="3C37386A" w:rsidR="00531C5A" w:rsidRPr="00531C5A" w:rsidRDefault="00531C5A" w:rsidP="00531C5A">
      <w:pPr>
        <w:spacing w:line="480" w:lineRule="auto"/>
        <w:rPr>
          <w:sz w:val="22"/>
        </w:rPr>
      </w:pPr>
      <w:r w:rsidRPr="00531C5A">
        <w:rPr>
          <w:b/>
          <w:sz w:val="22"/>
        </w:rPr>
        <w:t>METHODS:</w:t>
      </w:r>
      <w:r w:rsidRPr="00531C5A">
        <w:rPr>
          <w:sz w:val="22"/>
        </w:rPr>
        <w:t xml:space="preserve"> </w:t>
      </w:r>
      <w:r w:rsidRPr="00531C5A">
        <w:rPr>
          <w:sz w:val="22"/>
        </w:rPr>
        <w:t>We performed a descriptive and retrospective analysis on clinical records of patients diagnosed with GBS from February 2004 to February 2010. Clinical and neurophysiological (Asbury criteria) characteristics, therapeutics and short-term follow-up were analyzed.</w:t>
      </w:r>
    </w:p>
    <w:p w14:paraId="4932C40F" w14:textId="03C3F7EC" w:rsidR="00531C5A" w:rsidRPr="00531C5A" w:rsidRDefault="00531C5A" w:rsidP="00531C5A">
      <w:pPr>
        <w:spacing w:line="480" w:lineRule="auto"/>
        <w:rPr>
          <w:sz w:val="22"/>
        </w:rPr>
      </w:pPr>
      <w:r w:rsidRPr="00531C5A">
        <w:rPr>
          <w:b/>
          <w:sz w:val="22"/>
        </w:rPr>
        <w:t>RESULTS:</w:t>
      </w:r>
      <w:r w:rsidRPr="00531C5A">
        <w:rPr>
          <w:sz w:val="22"/>
        </w:rPr>
        <w:t xml:space="preserve"> </w:t>
      </w:r>
      <w:r w:rsidRPr="00531C5A">
        <w:rPr>
          <w:sz w:val="22"/>
        </w:rPr>
        <w:t>A total of 25 patients (mean age: 38 years, range: 18-59 years) with complete clinical data and follow-up were included: 14 men and 11 women (56% had the antecedent of infection in the previous 4 weeks). Seventy-six percent of patients grouped into the 4 and 5 grades in the Hughes functional scale for GBS. Protein-cytological dissociation was observed in 81% of cases. A 39.1% of patients corresponded to the acute motor and sensory axonal neuropathy (AMSAN), 26.1% to acute motor axonal neuropathy (AMAN), 26.1% to acute inflammatory demyelinating polyneuropathy (AIDP), and 8.7% to the Miller Fisher clinical-neurophysiological pattern. In all, 83% of AIDP cases presented during spring. The axonal variants had the largest hospital stay (21.7 vs. 10.9 days, p=0.008) and a trend for more cases needing mechanical ventilation (33.3% vs. 0%, p=0.12).</w:t>
      </w:r>
    </w:p>
    <w:p w14:paraId="5C21E9D5" w14:textId="151353F5" w:rsidR="00531C5A" w:rsidRPr="00531C5A" w:rsidRDefault="00531C5A" w:rsidP="00531C5A">
      <w:pPr>
        <w:spacing w:line="480" w:lineRule="auto"/>
        <w:rPr>
          <w:sz w:val="22"/>
        </w:rPr>
      </w:pPr>
      <w:r w:rsidRPr="00531C5A">
        <w:rPr>
          <w:b/>
          <w:sz w:val="22"/>
        </w:rPr>
        <w:t>CONCLUSION:</w:t>
      </w:r>
      <w:r w:rsidRPr="00531C5A">
        <w:rPr>
          <w:sz w:val="22"/>
        </w:rPr>
        <w:t xml:space="preserve"> </w:t>
      </w:r>
      <w:r w:rsidRPr="00531C5A">
        <w:rPr>
          <w:sz w:val="22"/>
        </w:rPr>
        <w:t>We observed some differences with respect to information from occidental countries, among them, a high frequency of axonal variants, which were more severe and had the longest hospital stay.</w:t>
      </w:r>
    </w:p>
    <w:p w14:paraId="1C1464FA" w14:textId="509091EA" w:rsidR="00531C5A" w:rsidRPr="00531C5A" w:rsidRDefault="00531C5A" w:rsidP="00531C5A">
      <w:pPr>
        <w:spacing w:line="480" w:lineRule="auto"/>
        <w:rPr>
          <w:sz w:val="22"/>
        </w:rPr>
      </w:pPr>
      <w:r w:rsidRPr="00531C5A">
        <w:rPr>
          <w:b/>
          <w:sz w:val="22"/>
        </w:rPr>
        <w:t>KEY WORDS:</w:t>
      </w:r>
      <w:r w:rsidRPr="00531C5A">
        <w:rPr>
          <w:sz w:val="22"/>
        </w:rPr>
        <w:t xml:space="preserve"> </w:t>
      </w:r>
      <w:r w:rsidRPr="00531C5A">
        <w:rPr>
          <w:sz w:val="22"/>
        </w:rPr>
        <w:t>Arreflexia, Guillain-Barré, hyporreflexia, neurophysiology, paralysis.</w:t>
      </w:r>
    </w:p>
    <w:p w14:paraId="6C272D67" w14:textId="556CFEB6" w:rsidR="00531C5A" w:rsidRPr="00531C5A" w:rsidRDefault="00531C5A" w:rsidP="00531C5A">
      <w:pPr>
        <w:spacing w:line="480" w:lineRule="auto"/>
        <w:rPr>
          <w:sz w:val="22"/>
        </w:rPr>
      </w:pPr>
      <w:r w:rsidRPr="00531C5A">
        <w:rPr>
          <w:sz w:val="22"/>
        </w:rPr>
        <w:lastRenderedPageBreak/>
        <w:t> </w:t>
      </w:r>
    </w:p>
    <w:p w14:paraId="7A75806E" w14:textId="4C3D710F" w:rsidR="00D86D91" w:rsidRPr="00D512F7" w:rsidRDefault="00531C5A" w:rsidP="00D86D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rFonts w:ascii="Arial Bold" w:hAnsi="Arial Bold"/>
          <w:sz w:val="22"/>
        </w:rPr>
      </w:pPr>
      <w:r>
        <w:rPr>
          <w:rFonts w:ascii="Arial Bold" w:hAnsi="Arial Bold"/>
          <w:caps/>
          <w:sz w:val="22"/>
        </w:rPr>
        <w:t xml:space="preserve"> </w:t>
      </w:r>
      <w:r w:rsidR="00D86D91">
        <w:rPr>
          <w:rFonts w:ascii="Arial Bold" w:hAnsi="Arial Bold"/>
          <w:caps/>
          <w:sz w:val="22"/>
        </w:rPr>
        <w:t>[TEXTO PRINCIPAL]</w:t>
      </w:r>
    </w:p>
    <w:p w14:paraId="51F9E290" w14:textId="77777777" w:rsidR="00D86D91" w:rsidRDefault="00D86D91" w:rsidP="00DB0B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rFonts w:ascii="Arial Bold" w:hAnsi="Arial Bold"/>
          <w:sz w:val="22"/>
        </w:rPr>
      </w:pPr>
    </w:p>
    <w:p w14:paraId="256AB69B" w14:textId="1DD11196" w:rsidR="00E663B7" w:rsidRDefault="00E663B7" w:rsidP="00DB0B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rFonts w:ascii="Arial Bold" w:hAnsi="Arial Bold"/>
          <w:sz w:val="22"/>
        </w:rPr>
      </w:pPr>
      <w:r>
        <w:rPr>
          <w:rFonts w:ascii="Arial Bold" w:hAnsi="Arial Bold"/>
          <w:sz w:val="22"/>
        </w:rPr>
        <w:t>INTRODUCCIÓN</w:t>
      </w:r>
    </w:p>
    <w:p w14:paraId="09EC11B5" w14:textId="77777777" w:rsidR="00E663B7" w:rsidRDefault="00E663B7" w:rsidP="00866E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rPr>
      </w:pPr>
      <w:r>
        <w:rPr>
          <w:sz w:val="22"/>
        </w:rPr>
        <w:t xml:space="preserve">El </w:t>
      </w:r>
      <w:r w:rsidR="00553AD4">
        <w:rPr>
          <w:sz w:val="22"/>
        </w:rPr>
        <w:t xml:space="preserve">síndrome de Guillain-Barré (SGB) es una polineuropatía inflamatoria aguda </w:t>
      </w:r>
      <w:r w:rsidR="00205584">
        <w:rPr>
          <w:sz w:val="22"/>
        </w:rPr>
        <w:t xml:space="preserve">y monofásica </w:t>
      </w:r>
      <w:r w:rsidR="00553AD4">
        <w:rPr>
          <w:sz w:val="22"/>
        </w:rPr>
        <w:t>que se caracteriza por parálisis fláccida y arrefléctica</w:t>
      </w:r>
      <w:r>
        <w:rPr>
          <w:sz w:val="22"/>
        </w:rPr>
        <w:t>.</w:t>
      </w:r>
      <w:r>
        <w:rPr>
          <w:sz w:val="22"/>
          <w:vertAlign w:val="superscript"/>
        </w:rPr>
        <w:t>1-</w:t>
      </w:r>
      <w:r w:rsidR="008E0E2E">
        <w:rPr>
          <w:sz w:val="22"/>
          <w:vertAlign w:val="superscript"/>
        </w:rPr>
        <w:t>3</w:t>
      </w:r>
      <w:r>
        <w:rPr>
          <w:sz w:val="22"/>
        </w:rPr>
        <w:t xml:space="preserve"> </w:t>
      </w:r>
      <w:r w:rsidR="00C84A1D">
        <w:rPr>
          <w:sz w:val="22"/>
        </w:rPr>
        <w:t>Este cuadro es adquirido, mediado inmunitariamente y en muchos casos postinfeccioso</w:t>
      </w:r>
      <w:r>
        <w:rPr>
          <w:sz w:val="22"/>
        </w:rPr>
        <w:t>.</w:t>
      </w:r>
      <w:r w:rsidR="0051209A">
        <w:rPr>
          <w:sz w:val="22"/>
          <w:vertAlign w:val="superscript"/>
        </w:rPr>
        <w:t>4-7</w:t>
      </w:r>
      <w:r>
        <w:rPr>
          <w:sz w:val="22"/>
        </w:rPr>
        <w:t xml:space="preserve"> </w:t>
      </w:r>
      <w:r w:rsidR="00B22B35">
        <w:rPr>
          <w:sz w:val="22"/>
        </w:rPr>
        <w:t>E</w:t>
      </w:r>
      <w:r w:rsidR="00B22B35" w:rsidRPr="00B22B35">
        <w:rPr>
          <w:sz w:val="22"/>
        </w:rPr>
        <w:t xml:space="preserve">n </w:t>
      </w:r>
      <w:r w:rsidR="00B22B35">
        <w:rPr>
          <w:sz w:val="22"/>
        </w:rPr>
        <w:t>países en los que</w:t>
      </w:r>
      <w:r w:rsidR="00B22B35" w:rsidRPr="00B22B35">
        <w:rPr>
          <w:sz w:val="22"/>
        </w:rPr>
        <w:t xml:space="preserve"> la poliomielitis ha sido erradicada</w:t>
      </w:r>
      <w:r w:rsidR="00B22B35">
        <w:rPr>
          <w:sz w:val="22"/>
        </w:rPr>
        <w:t xml:space="preserve">, el </w:t>
      </w:r>
      <w:r w:rsidR="00866EC9">
        <w:rPr>
          <w:sz w:val="22"/>
        </w:rPr>
        <w:t>SGB</w:t>
      </w:r>
      <w:r w:rsidR="00B22B35" w:rsidRPr="00B22B35">
        <w:rPr>
          <w:sz w:val="22"/>
        </w:rPr>
        <w:t xml:space="preserve"> </w:t>
      </w:r>
      <w:r w:rsidR="00B22B35">
        <w:rPr>
          <w:sz w:val="22"/>
        </w:rPr>
        <w:t>c</w:t>
      </w:r>
      <w:r w:rsidR="00B22B35" w:rsidRPr="00B22B35">
        <w:rPr>
          <w:sz w:val="22"/>
        </w:rPr>
        <w:t>onstituye la principal causa de parálisis flácida aguda</w:t>
      </w:r>
      <w:r>
        <w:rPr>
          <w:sz w:val="22"/>
        </w:rPr>
        <w:t>.</w:t>
      </w:r>
      <w:r w:rsidR="003B5F05">
        <w:rPr>
          <w:sz w:val="22"/>
          <w:vertAlign w:val="superscript"/>
        </w:rPr>
        <w:t>2</w:t>
      </w:r>
      <w:r w:rsidR="00866EC9">
        <w:rPr>
          <w:sz w:val="22"/>
          <w:vertAlign w:val="superscript"/>
        </w:rPr>
        <w:t xml:space="preserve"> </w:t>
      </w:r>
      <w:r w:rsidR="00866EC9">
        <w:rPr>
          <w:rStyle w:val="hps"/>
          <w:sz w:val="22"/>
        </w:rPr>
        <w:t xml:space="preserve">Al SGB </w:t>
      </w:r>
      <w:r w:rsidR="000773B2">
        <w:rPr>
          <w:rStyle w:val="hps"/>
          <w:sz w:val="22"/>
        </w:rPr>
        <w:t>clásicamente se le definía clínica</w:t>
      </w:r>
      <w:r w:rsidR="00EF4EC9">
        <w:rPr>
          <w:rStyle w:val="hps"/>
          <w:sz w:val="22"/>
        </w:rPr>
        <w:t>, anatomopatológica</w:t>
      </w:r>
      <w:r w:rsidR="000773B2">
        <w:rPr>
          <w:rStyle w:val="hps"/>
          <w:sz w:val="22"/>
        </w:rPr>
        <w:t xml:space="preserve"> y electrofisiológicamente como una </w:t>
      </w:r>
      <w:r w:rsidR="000773B2" w:rsidRPr="00B03D6E">
        <w:rPr>
          <w:sz w:val="22"/>
        </w:rPr>
        <w:t>polineuropatía desmielinizante inflamatoria ag</w:t>
      </w:r>
      <w:r w:rsidR="000773B2">
        <w:rPr>
          <w:sz w:val="22"/>
        </w:rPr>
        <w:t>uda (o AIDP, por sus siglas en inglés</w:t>
      </w:r>
      <w:r w:rsidR="00F11DE4">
        <w:rPr>
          <w:sz w:val="22"/>
        </w:rPr>
        <w:t xml:space="preserve">), </w:t>
      </w:r>
      <w:r w:rsidR="00EF4EC9">
        <w:rPr>
          <w:sz w:val="22"/>
        </w:rPr>
        <w:t>caracterizada en los estudios de conducción nerviosa por enlentecimiento de las velocidades de conducción, bloqueo de la conducción, latencias retrasadas</w:t>
      </w:r>
      <w:r w:rsidR="0050492A">
        <w:rPr>
          <w:sz w:val="22"/>
        </w:rPr>
        <w:t xml:space="preserve"> y</w:t>
      </w:r>
      <w:r w:rsidR="00EB65A5">
        <w:rPr>
          <w:sz w:val="22"/>
        </w:rPr>
        <w:t>/o</w:t>
      </w:r>
      <w:r w:rsidR="0050492A">
        <w:rPr>
          <w:sz w:val="22"/>
        </w:rPr>
        <w:t xml:space="preserve"> respuestas dispersas;</w:t>
      </w:r>
      <w:r w:rsidR="003B5F05">
        <w:rPr>
          <w:sz w:val="22"/>
          <w:vertAlign w:val="superscript"/>
        </w:rPr>
        <w:t>1-3</w:t>
      </w:r>
      <w:r w:rsidR="0050492A">
        <w:rPr>
          <w:sz w:val="22"/>
        </w:rPr>
        <w:t xml:space="preserve"> </w:t>
      </w:r>
      <w:r w:rsidR="00F11DE4">
        <w:rPr>
          <w:sz w:val="22"/>
        </w:rPr>
        <w:t xml:space="preserve">pero </w:t>
      </w:r>
      <w:r w:rsidR="00785A02">
        <w:rPr>
          <w:sz w:val="22"/>
        </w:rPr>
        <w:t>con el tiempo la evidencia señaló</w:t>
      </w:r>
      <w:r w:rsidR="00F11DE4">
        <w:rPr>
          <w:sz w:val="22"/>
        </w:rPr>
        <w:t xml:space="preserve"> que existen características clínicas, serológicas y electrofisiológicas de otras variantes del síndrome</w:t>
      </w:r>
      <w:r w:rsidR="002C329F">
        <w:rPr>
          <w:sz w:val="22"/>
        </w:rPr>
        <w:t xml:space="preserve"> </w:t>
      </w:r>
      <w:r w:rsidR="00DA44FF">
        <w:rPr>
          <w:sz w:val="22"/>
        </w:rPr>
        <w:t>que se caracteriza</w:t>
      </w:r>
      <w:r w:rsidR="00785A02">
        <w:rPr>
          <w:sz w:val="22"/>
        </w:rPr>
        <w:t>n</w:t>
      </w:r>
      <w:r w:rsidR="00DA44FF">
        <w:rPr>
          <w:sz w:val="22"/>
        </w:rPr>
        <w:t xml:space="preserve"> por lesión inflamatoria del axón.</w:t>
      </w:r>
      <w:r w:rsidR="004D42A5">
        <w:rPr>
          <w:rStyle w:val="hps"/>
          <w:sz w:val="22"/>
          <w:vertAlign w:val="superscript"/>
        </w:rPr>
        <w:t>8-1</w:t>
      </w:r>
      <w:r w:rsidR="00EA4EE0">
        <w:rPr>
          <w:rStyle w:val="hps"/>
          <w:sz w:val="22"/>
          <w:vertAlign w:val="superscript"/>
        </w:rPr>
        <w:t>3</w:t>
      </w:r>
      <w:r w:rsidR="00DA44FF">
        <w:rPr>
          <w:sz w:val="22"/>
        </w:rPr>
        <w:t xml:space="preserve"> A estas </w:t>
      </w:r>
      <w:r w:rsidR="005B35D7">
        <w:rPr>
          <w:sz w:val="22"/>
        </w:rPr>
        <w:t>formas</w:t>
      </w:r>
      <w:r w:rsidR="00DA44FF">
        <w:rPr>
          <w:sz w:val="22"/>
        </w:rPr>
        <w:t xml:space="preserve"> clínico-fisiológicas se les conoce como </w:t>
      </w:r>
      <w:r w:rsidR="005B35D7">
        <w:rPr>
          <w:sz w:val="22"/>
        </w:rPr>
        <w:t xml:space="preserve">variantes </w:t>
      </w:r>
      <w:r w:rsidR="00DA44FF">
        <w:rPr>
          <w:sz w:val="22"/>
        </w:rPr>
        <w:t xml:space="preserve">axonales </w:t>
      </w:r>
      <w:r w:rsidR="005B35D7">
        <w:rPr>
          <w:sz w:val="22"/>
        </w:rPr>
        <w:t>del SGB</w:t>
      </w:r>
      <w:r w:rsidR="00DD74A8">
        <w:rPr>
          <w:sz w:val="22"/>
        </w:rPr>
        <w:t xml:space="preserve">: </w:t>
      </w:r>
      <w:r w:rsidR="00275BCB" w:rsidRPr="00275BCB">
        <w:rPr>
          <w:sz w:val="22"/>
        </w:rPr>
        <w:t>neuropatía axonal motora aguda (AMAN</w:t>
      </w:r>
      <w:r w:rsidR="00275BCB">
        <w:rPr>
          <w:sz w:val="22"/>
        </w:rPr>
        <w:t>, por sus siglas en inglés</w:t>
      </w:r>
      <w:r w:rsidR="00275BCB" w:rsidRPr="00275BCB">
        <w:rPr>
          <w:sz w:val="22"/>
        </w:rPr>
        <w:t>)</w:t>
      </w:r>
      <w:r w:rsidR="00275BCB">
        <w:rPr>
          <w:sz w:val="22"/>
        </w:rPr>
        <w:t xml:space="preserve"> y </w:t>
      </w:r>
      <w:r w:rsidR="00232541">
        <w:rPr>
          <w:sz w:val="22"/>
        </w:rPr>
        <w:t xml:space="preserve">neuropatía </w:t>
      </w:r>
      <w:r w:rsidR="00275BCB" w:rsidRPr="00275BCB">
        <w:rPr>
          <w:sz w:val="22"/>
        </w:rPr>
        <w:t>axonal sensitivo-motora aguda (AMSAN</w:t>
      </w:r>
      <w:r w:rsidR="00275BCB">
        <w:rPr>
          <w:sz w:val="22"/>
        </w:rPr>
        <w:t>, por sus siglas en inglés</w:t>
      </w:r>
      <w:r w:rsidR="00275BCB" w:rsidRPr="00275BCB">
        <w:rPr>
          <w:sz w:val="22"/>
        </w:rPr>
        <w:t>)</w:t>
      </w:r>
      <w:r w:rsidR="00866EC9">
        <w:rPr>
          <w:rStyle w:val="hps"/>
          <w:sz w:val="22"/>
        </w:rPr>
        <w:t>.</w:t>
      </w:r>
      <w:r w:rsidR="007B0B5C">
        <w:rPr>
          <w:rStyle w:val="hps"/>
          <w:sz w:val="22"/>
          <w:vertAlign w:val="superscript"/>
        </w:rPr>
        <w:t>14,15</w:t>
      </w:r>
      <w:r w:rsidR="00866EC9">
        <w:rPr>
          <w:rStyle w:val="hps"/>
          <w:sz w:val="22"/>
        </w:rPr>
        <w:t xml:space="preserve"> </w:t>
      </w:r>
    </w:p>
    <w:p w14:paraId="4070057A" w14:textId="77777777" w:rsidR="00E663B7" w:rsidRDefault="00E663B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rPr>
      </w:pPr>
    </w:p>
    <w:p w14:paraId="248EE00E" w14:textId="77777777" w:rsidR="00E663B7"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rPr>
      </w:pPr>
      <w:r>
        <w:rPr>
          <w:rStyle w:val="hps"/>
          <w:sz w:val="22"/>
        </w:rPr>
        <w:tab/>
      </w:r>
      <w:r w:rsidR="001D1E60">
        <w:rPr>
          <w:rStyle w:val="hps"/>
          <w:sz w:val="22"/>
        </w:rPr>
        <w:t>Al</w:t>
      </w:r>
      <w:r w:rsidR="005768B6">
        <w:rPr>
          <w:rStyle w:val="hps"/>
          <w:sz w:val="22"/>
        </w:rPr>
        <w:t xml:space="preserve">gunas poblaciones de Asia y América </w:t>
      </w:r>
      <w:r w:rsidR="00884FEA">
        <w:rPr>
          <w:rStyle w:val="hps"/>
          <w:sz w:val="22"/>
        </w:rPr>
        <w:t>presentan con mayor frecuencia las</w:t>
      </w:r>
      <w:r w:rsidR="005768B6">
        <w:rPr>
          <w:rStyle w:val="hps"/>
          <w:sz w:val="22"/>
        </w:rPr>
        <w:t xml:space="preserve"> variantes axonales del SGB, en comparación con </w:t>
      </w:r>
      <w:r w:rsidR="00927DFC">
        <w:rPr>
          <w:rStyle w:val="hps"/>
          <w:sz w:val="22"/>
        </w:rPr>
        <w:t>la</w:t>
      </w:r>
      <w:r w:rsidR="005768B6">
        <w:rPr>
          <w:rStyle w:val="hps"/>
          <w:sz w:val="22"/>
        </w:rPr>
        <w:t xml:space="preserve"> población anglosajona o </w:t>
      </w:r>
      <w:r w:rsidR="00B661D3">
        <w:rPr>
          <w:rStyle w:val="hps"/>
          <w:sz w:val="22"/>
        </w:rPr>
        <w:t>del grupo bioétnico indoeuropeo</w:t>
      </w:r>
      <w:r>
        <w:rPr>
          <w:rStyle w:val="hps"/>
          <w:sz w:val="22"/>
        </w:rPr>
        <w:t>.</w:t>
      </w:r>
      <w:r w:rsidR="00EB40E7">
        <w:rPr>
          <w:rStyle w:val="hps"/>
          <w:sz w:val="22"/>
          <w:vertAlign w:val="superscript"/>
        </w:rPr>
        <w:t>7-2</w:t>
      </w:r>
      <w:r w:rsidR="005E2EB3">
        <w:rPr>
          <w:rStyle w:val="hps"/>
          <w:sz w:val="22"/>
          <w:vertAlign w:val="superscript"/>
        </w:rPr>
        <w:t>9</w:t>
      </w:r>
      <w:r>
        <w:rPr>
          <w:rStyle w:val="hps"/>
          <w:sz w:val="22"/>
        </w:rPr>
        <w:t xml:space="preserve"> </w:t>
      </w:r>
      <w:r w:rsidR="00893747">
        <w:rPr>
          <w:rStyle w:val="hps"/>
          <w:sz w:val="22"/>
        </w:rPr>
        <w:t>Lo anterior</w:t>
      </w:r>
      <w:r w:rsidR="001D1E60">
        <w:rPr>
          <w:rStyle w:val="hps"/>
          <w:sz w:val="22"/>
        </w:rPr>
        <w:t xml:space="preserve"> sugiere que existe influencia gené</w:t>
      </w:r>
      <w:r w:rsidR="00C76931">
        <w:rPr>
          <w:rStyle w:val="hps"/>
          <w:sz w:val="22"/>
        </w:rPr>
        <w:t>tica en el desarrollo y/o presentación</w:t>
      </w:r>
      <w:r w:rsidR="001D1E60">
        <w:rPr>
          <w:rStyle w:val="hps"/>
          <w:sz w:val="22"/>
        </w:rPr>
        <w:t xml:space="preserve"> </w:t>
      </w:r>
      <w:r w:rsidR="00C76931">
        <w:rPr>
          <w:rStyle w:val="hps"/>
          <w:sz w:val="22"/>
        </w:rPr>
        <w:t xml:space="preserve">del SGB. </w:t>
      </w:r>
      <w:r w:rsidR="003D767C">
        <w:rPr>
          <w:rStyle w:val="hps"/>
          <w:sz w:val="22"/>
        </w:rPr>
        <w:t xml:space="preserve">Esto es de relevancia clínica, si consideramos que usualmente las variantes axonales del síndrome suelen tener </w:t>
      </w:r>
      <w:r w:rsidR="004A3477">
        <w:rPr>
          <w:rStyle w:val="hps"/>
          <w:sz w:val="22"/>
        </w:rPr>
        <w:t xml:space="preserve">una relación causal (más del 70% de asociación con infección por </w:t>
      </w:r>
      <w:r w:rsidR="004A3477" w:rsidRPr="004A3477">
        <w:rPr>
          <w:rStyle w:val="hps"/>
          <w:i/>
          <w:sz w:val="22"/>
        </w:rPr>
        <w:t xml:space="preserve">C. </w:t>
      </w:r>
      <w:r w:rsidR="004A3477">
        <w:rPr>
          <w:rStyle w:val="hps"/>
          <w:i/>
          <w:sz w:val="22"/>
        </w:rPr>
        <w:t>j</w:t>
      </w:r>
      <w:r w:rsidR="004A3477" w:rsidRPr="004A3477">
        <w:rPr>
          <w:rStyle w:val="hps"/>
          <w:i/>
          <w:sz w:val="22"/>
        </w:rPr>
        <w:t>ejuni</w:t>
      </w:r>
      <w:r w:rsidR="004A3477">
        <w:rPr>
          <w:rStyle w:val="hps"/>
          <w:sz w:val="22"/>
        </w:rPr>
        <w:t xml:space="preserve">) </w:t>
      </w:r>
      <w:r w:rsidR="008760F9">
        <w:rPr>
          <w:rStyle w:val="hps"/>
          <w:sz w:val="22"/>
        </w:rPr>
        <w:t xml:space="preserve">y </w:t>
      </w:r>
      <w:r w:rsidR="003D767C">
        <w:rPr>
          <w:rStyle w:val="hps"/>
          <w:sz w:val="22"/>
        </w:rPr>
        <w:t xml:space="preserve">un pronóstico </w:t>
      </w:r>
      <w:r w:rsidR="008760F9">
        <w:rPr>
          <w:rStyle w:val="hps"/>
          <w:sz w:val="22"/>
        </w:rPr>
        <w:t>diferentes</w:t>
      </w:r>
      <w:r w:rsidR="0078155B">
        <w:rPr>
          <w:rStyle w:val="hps"/>
          <w:sz w:val="22"/>
        </w:rPr>
        <w:t>, en comparación con</w:t>
      </w:r>
      <w:r w:rsidR="003D767C">
        <w:rPr>
          <w:rStyle w:val="hps"/>
          <w:sz w:val="22"/>
        </w:rPr>
        <w:t xml:space="preserve"> la forma desmielinizante.</w:t>
      </w:r>
      <w:r w:rsidR="00EB40E7">
        <w:rPr>
          <w:rStyle w:val="hps"/>
          <w:sz w:val="22"/>
          <w:vertAlign w:val="superscript"/>
        </w:rPr>
        <w:t>8-12,15,23-28</w:t>
      </w:r>
      <w:r w:rsidR="00C76931">
        <w:rPr>
          <w:rStyle w:val="hps"/>
          <w:sz w:val="22"/>
        </w:rPr>
        <w:t xml:space="preserve"> </w:t>
      </w:r>
      <w:r w:rsidR="00CB21E7">
        <w:rPr>
          <w:rStyle w:val="hps"/>
          <w:sz w:val="22"/>
        </w:rPr>
        <w:t>Existen pocos estudios sobre SGB en la población mexicana</w:t>
      </w:r>
      <w:r w:rsidR="00F10829">
        <w:rPr>
          <w:rStyle w:val="hps"/>
          <w:sz w:val="22"/>
        </w:rPr>
        <w:t>.</w:t>
      </w:r>
      <w:r w:rsidR="00C940A6">
        <w:rPr>
          <w:rStyle w:val="hps"/>
          <w:sz w:val="22"/>
          <w:vertAlign w:val="superscript"/>
        </w:rPr>
        <w:t>19</w:t>
      </w:r>
      <w:r w:rsidR="00B8674C">
        <w:rPr>
          <w:rStyle w:val="hps"/>
          <w:sz w:val="22"/>
          <w:vertAlign w:val="superscript"/>
        </w:rPr>
        <w:t>-30</w:t>
      </w:r>
      <w:r w:rsidR="00F10829">
        <w:rPr>
          <w:rStyle w:val="hps"/>
          <w:sz w:val="22"/>
          <w:vertAlign w:val="superscript"/>
        </w:rPr>
        <w:t xml:space="preserve"> </w:t>
      </w:r>
      <w:r w:rsidR="008B3B34">
        <w:rPr>
          <w:rStyle w:val="hps"/>
          <w:sz w:val="22"/>
        </w:rPr>
        <w:t>Nuestro objetivo fue el de d</w:t>
      </w:r>
      <w:r w:rsidR="008B3B34" w:rsidRPr="008B3B34">
        <w:rPr>
          <w:rStyle w:val="hps"/>
          <w:sz w:val="22"/>
        </w:rPr>
        <w:t xml:space="preserve">escribir las variantes </w:t>
      </w:r>
      <w:r w:rsidR="008B3B34" w:rsidRPr="008B3B34">
        <w:rPr>
          <w:rStyle w:val="hps"/>
          <w:sz w:val="22"/>
        </w:rPr>
        <w:lastRenderedPageBreak/>
        <w:t>neurofisiológicas y las características de los pacientes con SGB en un hospital de concentración del estado de Tabasco, México</w:t>
      </w:r>
      <w:r w:rsidR="008B3B34">
        <w:rPr>
          <w:rStyle w:val="hps"/>
          <w:sz w:val="22"/>
        </w:rPr>
        <w:t>.</w:t>
      </w:r>
    </w:p>
    <w:p w14:paraId="18363E8C" w14:textId="77777777" w:rsidR="00E663B7"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rPr>
      </w:pPr>
    </w:p>
    <w:p w14:paraId="71BD1394" w14:textId="1230116F" w:rsidR="00147D97" w:rsidRDefault="00147D97">
      <w:pPr>
        <w:rPr>
          <w:rFonts w:ascii="Arial Bold" w:hAnsi="Arial Bold"/>
          <w:sz w:val="22"/>
        </w:rPr>
      </w:pPr>
    </w:p>
    <w:p w14:paraId="740A42F1" w14:textId="264956A8" w:rsidR="00E663B7"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sz w:val="22"/>
        </w:rPr>
      </w:pPr>
      <w:r>
        <w:rPr>
          <w:rFonts w:ascii="Arial Bold" w:hAnsi="Arial Bold"/>
          <w:sz w:val="22"/>
        </w:rPr>
        <w:t>MÉTODOS</w:t>
      </w:r>
    </w:p>
    <w:p w14:paraId="48B71FB2" w14:textId="58349A42" w:rsidR="00B913A2" w:rsidRPr="00B913A2" w:rsidRDefault="00B913A2" w:rsidP="00B913A2">
      <w:pPr>
        <w:pStyle w:val="Formatolibre"/>
        <w:spacing w:line="480" w:lineRule="auto"/>
        <w:rPr>
          <w:rFonts w:ascii="Arial" w:hAnsi="Arial"/>
          <w:sz w:val="22"/>
          <w:szCs w:val="24"/>
          <w:lang w:eastAsia="en-US"/>
        </w:rPr>
      </w:pPr>
      <w:r w:rsidRPr="00B913A2">
        <w:rPr>
          <w:rFonts w:ascii="Arial" w:hAnsi="Arial"/>
          <w:sz w:val="22"/>
          <w:szCs w:val="24"/>
          <w:lang w:eastAsia="en-US"/>
        </w:rPr>
        <w:t xml:space="preserve">Se realizó un estudio de tipo descriptivo y retrospectivo de los pacientes con diagnóstico de SGB admitidos en el Hospital Regional de Alta Especialidad “Dr. Juan Graham Casasús” (HAEJGC) </w:t>
      </w:r>
      <w:r w:rsidR="0025492D">
        <w:rPr>
          <w:rFonts w:ascii="Arial" w:hAnsi="Arial"/>
          <w:sz w:val="22"/>
          <w:szCs w:val="24"/>
          <w:lang w:eastAsia="en-US"/>
        </w:rPr>
        <w:t>en el estado de Tabasco, México;</w:t>
      </w:r>
      <w:r w:rsidRPr="00B913A2">
        <w:rPr>
          <w:rFonts w:ascii="Arial" w:hAnsi="Arial"/>
          <w:sz w:val="22"/>
          <w:szCs w:val="24"/>
          <w:lang w:eastAsia="en-US"/>
        </w:rPr>
        <w:t xml:space="preserve"> en un periodo de 6 años (marzo de 2</w:t>
      </w:r>
      <w:r w:rsidR="0025492D">
        <w:rPr>
          <w:rFonts w:ascii="Arial" w:hAnsi="Arial"/>
          <w:sz w:val="22"/>
          <w:szCs w:val="24"/>
          <w:lang w:eastAsia="en-US"/>
        </w:rPr>
        <w:t xml:space="preserve">004 a febrero 2010). </w:t>
      </w:r>
      <w:r w:rsidRPr="00B913A2">
        <w:rPr>
          <w:rFonts w:ascii="Arial" w:hAnsi="Arial"/>
          <w:sz w:val="22"/>
          <w:szCs w:val="24"/>
          <w:lang w:eastAsia="en-US"/>
        </w:rPr>
        <w:t>Se revisaron los expedientes clínicos de 25 pacientes que cumplían con los criterios de Asbury y Cornblath para ser diagnosticados de SGB</w:t>
      </w:r>
      <w:r w:rsidR="004E7C03">
        <w:rPr>
          <w:rFonts w:ascii="Arial" w:hAnsi="Arial"/>
          <w:sz w:val="22"/>
          <w:szCs w:val="24"/>
          <w:lang w:eastAsia="en-US"/>
        </w:rPr>
        <w:t>,</w:t>
      </w:r>
      <w:r w:rsidR="006204C7">
        <w:rPr>
          <w:rFonts w:ascii="Arial" w:hAnsi="Arial"/>
          <w:sz w:val="22"/>
          <w:szCs w:val="24"/>
          <w:vertAlign w:val="superscript"/>
          <w:lang w:eastAsia="en-US"/>
        </w:rPr>
        <w:t>1</w:t>
      </w:r>
      <w:r w:rsidR="004E7C03">
        <w:rPr>
          <w:rFonts w:ascii="Arial" w:hAnsi="Arial"/>
          <w:sz w:val="22"/>
          <w:szCs w:val="24"/>
          <w:lang w:eastAsia="en-US"/>
        </w:rPr>
        <w:t xml:space="preserve"> para los que estuvo disponible la información completa sobre la caracterización clínico</w:t>
      </w:r>
      <w:r w:rsidR="00B745A8">
        <w:rPr>
          <w:rFonts w:ascii="Arial" w:hAnsi="Arial"/>
          <w:sz w:val="22"/>
          <w:szCs w:val="24"/>
          <w:lang w:eastAsia="en-US"/>
        </w:rPr>
        <w:t>-electrofisiológica, así como del seguimiento hasta el alta hospitalaria</w:t>
      </w:r>
      <w:r w:rsidR="009748DA">
        <w:rPr>
          <w:rFonts w:ascii="Arial" w:hAnsi="Arial"/>
          <w:sz w:val="22"/>
          <w:szCs w:val="24"/>
          <w:lang w:eastAsia="en-US"/>
        </w:rPr>
        <w:t>. Se analizaron la</w:t>
      </w:r>
      <w:r w:rsidRPr="00B913A2">
        <w:rPr>
          <w:rFonts w:ascii="Arial" w:hAnsi="Arial"/>
          <w:sz w:val="22"/>
          <w:szCs w:val="24"/>
          <w:lang w:eastAsia="en-US"/>
        </w:rPr>
        <w:t xml:space="preserve">s siguientes </w:t>
      </w:r>
      <w:r w:rsidR="00E9054C">
        <w:rPr>
          <w:rFonts w:ascii="Arial" w:hAnsi="Arial"/>
          <w:sz w:val="22"/>
          <w:szCs w:val="24"/>
          <w:lang w:eastAsia="en-US"/>
        </w:rPr>
        <w:t>variable</w:t>
      </w:r>
      <w:r w:rsidRPr="00B913A2">
        <w:rPr>
          <w:rFonts w:ascii="Arial" w:hAnsi="Arial"/>
          <w:sz w:val="22"/>
          <w:szCs w:val="24"/>
          <w:lang w:eastAsia="en-US"/>
        </w:rPr>
        <w:t>s: edad, sexo, distribución estacional, factores precedentes (infección, cirugía, tóxicos, vacunación), manifestaciones clínicas, análisis de laboratorio, estudios electrofisiológicos, evolución y tratamiento recibido. Los pacientes se evaluaron de acuerdo a la escala de discapacidad funcional para SGB</w:t>
      </w:r>
      <w:r w:rsidR="009324AC">
        <w:rPr>
          <w:rFonts w:ascii="Arial" w:hAnsi="Arial"/>
          <w:sz w:val="22"/>
          <w:szCs w:val="24"/>
          <w:vertAlign w:val="superscript"/>
          <w:lang w:eastAsia="en-US"/>
        </w:rPr>
        <w:t>3</w:t>
      </w:r>
      <w:r w:rsidR="00B8674C">
        <w:rPr>
          <w:rFonts w:ascii="Arial" w:hAnsi="Arial"/>
          <w:sz w:val="22"/>
          <w:szCs w:val="24"/>
          <w:vertAlign w:val="superscript"/>
          <w:lang w:eastAsia="en-US"/>
        </w:rPr>
        <w:t>1</w:t>
      </w:r>
      <w:r w:rsidRPr="00B913A2">
        <w:rPr>
          <w:rFonts w:ascii="Arial" w:hAnsi="Arial"/>
          <w:sz w:val="22"/>
          <w:szCs w:val="24"/>
          <w:lang w:eastAsia="en-US"/>
        </w:rPr>
        <w:t xml:space="preserve"> (</w:t>
      </w:r>
      <w:r w:rsidR="00BF463D">
        <w:rPr>
          <w:rFonts w:ascii="Arial" w:hAnsi="Arial"/>
          <w:sz w:val="22"/>
          <w:szCs w:val="24"/>
          <w:lang w:eastAsia="en-US"/>
        </w:rPr>
        <w:t xml:space="preserve">Winer y Hughes; </w:t>
      </w:r>
      <w:r w:rsidRPr="00B913A2">
        <w:rPr>
          <w:rFonts w:ascii="Arial" w:hAnsi="Arial"/>
          <w:sz w:val="22"/>
          <w:szCs w:val="24"/>
          <w:lang w:eastAsia="en-US"/>
        </w:rPr>
        <w:t xml:space="preserve">0: normal; 1: signos o síntomas menores, capaz de correr; 2: puede caminar cinco metros sin ayuda, independientemente; 3: puede caminar cinco metros con un andador o soporte similar; 4: no puede caminar, permanece en cama o silla de ruedas; 5: requiere asistencia mecánica ventilatoria; 6: muerte). En la mayoría de los pacientes se efectuó análisis del LCR, con determinación de células, glucosa y proteínas totales, se consideró presentaban disociación </w:t>
      </w:r>
      <w:r w:rsidR="00191A73">
        <w:rPr>
          <w:rFonts w:ascii="Arial" w:hAnsi="Arial"/>
          <w:sz w:val="22"/>
          <w:szCs w:val="24"/>
          <w:lang w:eastAsia="en-US"/>
        </w:rPr>
        <w:t>proteí</w:t>
      </w:r>
      <w:r w:rsidR="00261065">
        <w:rPr>
          <w:rFonts w:ascii="Arial" w:hAnsi="Arial"/>
          <w:sz w:val="22"/>
          <w:szCs w:val="24"/>
          <w:lang w:eastAsia="en-US"/>
        </w:rPr>
        <w:t>no-</w:t>
      </w:r>
      <w:r w:rsidRPr="00B913A2">
        <w:rPr>
          <w:rFonts w:ascii="Arial" w:hAnsi="Arial"/>
          <w:sz w:val="22"/>
          <w:szCs w:val="24"/>
          <w:lang w:eastAsia="en-US"/>
        </w:rPr>
        <w:t>citológica cuando la proteinorraquia era mayor de 40</w:t>
      </w:r>
      <w:r w:rsidR="00502F90">
        <w:rPr>
          <w:rFonts w:ascii="Arial" w:hAnsi="Arial"/>
          <w:sz w:val="22"/>
          <w:szCs w:val="24"/>
          <w:lang w:eastAsia="en-US"/>
        </w:rPr>
        <w:t xml:space="preserve"> </w:t>
      </w:r>
      <w:r w:rsidRPr="00B913A2">
        <w:rPr>
          <w:rFonts w:ascii="Arial" w:hAnsi="Arial"/>
          <w:sz w:val="22"/>
          <w:szCs w:val="24"/>
          <w:lang w:eastAsia="en-US"/>
        </w:rPr>
        <w:t>mg/dL, y la celularidad era menor de 10 células/mm3.</w:t>
      </w:r>
    </w:p>
    <w:p w14:paraId="3447CB27" w14:textId="77777777" w:rsidR="00B913A2" w:rsidRPr="00B913A2" w:rsidRDefault="00B913A2" w:rsidP="00B913A2">
      <w:pPr>
        <w:pStyle w:val="Formatolibre"/>
        <w:spacing w:line="480" w:lineRule="auto"/>
        <w:rPr>
          <w:rFonts w:ascii="Arial" w:hAnsi="Arial"/>
          <w:sz w:val="22"/>
          <w:szCs w:val="24"/>
          <w:lang w:eastAsia="en-US"/>
        </w:rPr>
      </w:pPr>
      <w:r w:rsidRPr="00B913A2">
        <w:rPr>
          <w:rFonts w:ascii="Arial" w:hAnsi="Arial"/>
          <w:sz w:val="22"/>
          <w:szCs w:val="24"/>
          <w:lang w:eastAsia="en-US"/>
        </w:rPr>
        <w:tab/>
        <w:t>Los estudios de conducción nerviosa se elaboraron según los estándares de la Federación Internacional de Neurofisiología Clínica</w:t>
      </w:r>
      <w:r w:rsidR="00A969A9">
        <w:rPr>
          <w:rFonts w:ascii="Arial" w:hAnsi="Arial"/>
          <w:sz w:val="22"/>
          <w:szCs w:val="24"/>
          <w:lang w:eastAsia="en-US"/>
        </w:rPr>
        <w:t>. La evaluació</w:t>
      </w:r>
      <w:r w:rsidR="00CF5DD8">
        <w:rPr>
          <w:rFonts w:ascii="Arial" w:hAnsi="Arial"/>
          <w:sz w:val="22"/>
          <w:szCs w:val="24"/>
          <w:lang w:eastAsia="en-US"/>
        </w:rPr>
        <w:t>n</w:t>
      </w:r>
      <w:r w:rsidRPr="00B913A2">
        <w:rPr>
          <w:rFonts w:ascii="Arial" w:hAnsi="Arial"/>
          <w:sz w:val="22"/>
          <w:szCs w:val="24"/>
          <w:lang w:eastAsia="en-US"/>
        </w:rPr>
        <w:t xml:space="preserve"> de la conducción motora se realizó en los nervios mediano, cubital, tibial y peroneo, incluyendo </w:t>
      </w:r>
      <w:r w:rsidR="0028493E">
        <w:rPr>
          <w:rFonts w:ascii="Arial" w:hAnsi="Arial"/>
          <w:sz w:val="22"/>
          <w:szCs w:val="24"/>
          <w:lang w:eastAsia="en-US"/>
        </w:rPr>
        <w:t xml:space="preserve">el </w:t>
      </w:r>
      <w:r w:rsidR="005C4AF1">
        <w:rPr>
          <w:rFonts w:ascii="Arial" w:hAnsi="Arial"/>
          <w:sz w:val="22"/>
          <w:szCs w:val="24"/>
          <w:lang w:eastAsia="en-US"/>
        </w:rPr>
        <w:t>análisis de onda F. L</w:t>
      </w:r>
      <w:r w:rsidRPr="00B913A2">
        <w:rPr>
          <w:rFonts w:ascii="Arial" w:hAnsi="Arial"/>
          <w:sz w:val="22"/>
          <w:szCs w:val="24"/>
          <w:lang w:eastAsia="en-US"/>
        </w:rPr>
        <w:t xml:space="preserve">os estudios de conducción </w:t>
      </w:r>
      <w:r w:rsidR="001C4C78">
        <w:rPr>
          <w:rFonts w:ascii="Arial" w:hAnsi="Arial"/>
          <w:sz w:val="22"/>
          <w:szCs w:val="24"/>
          <w:lang w:eastAsia="en-US"/>
        </w:rPr>
        <w:t>sensitiva antidrómica se realizaron</w:t>
      </w:r>
      <w:r w:rsidRPr="00B913A2">
        <w:rPr>
          <w:rFonts w:ascii="Arial" w:hAnsi="Arial"/>
          <w:sz w:val="22"/>
          <w:szCs w:val="24"/>
          <w:lang w:eastAsia="en-US"/>
        </w:rPr>
        <w:t xml:space="preserve"> en </w:t>
      </w:r>
      <w:r w:rsidRPr="00B913A2">
        <w:rPr>
          <w:rFonts w:ascii="Arial" w:hAnsi="Arial"/>
          <w:sz w:val="22"/>
          <w:szCs w:val="24"/>
          <w:lang w:eastAsia="en-US"/>
        </w:rPr>
        <w:lastRenderedPageBreak/>
        <w:t>los nervios mediano, cubital y sural. Los pacientes se clasificaron en tres categorías</w:t>
      </w:r>
      <w:r w:rsidR="00F14B7C" w:rsidRPr="00F14B7C">
        <w:rPr>
          <w:rFonts w:ascii="Arial" w:hAnsi="Arial"/>
          <w:sz w:val="22"/>
          <w:szCs w:val="24"/>
          <w:lang w:eastAsia="en-US"/>
        </w:rPr>
        <w:t xml:space="preserve"> </w:t>
      </w:r>
      <w:r w:rsidR="00F14B7C" w:rsidRPr="00B913A2">
        <w:rPr>
          <w:rFonts w:ascii="Arial" w:hAnsi="Arial"/>
          <w:sz w:val="22"/>
          <w:szCs w:val="24"/>
          <w:lang w:eastAsia="en-US"/>
        </w:rPr>
        <w:t>según los criterios electrofisiológicos de Asbury y Cornblath</w:t>
      </w:r>
      <w:r w:rsidR="00C7565D">
        <w:rPr>
          <w:rFonts w:ascii="Arial" w:hAnsi="Arial"/>
          <w:sz w:val="22"/>
          <w:szCs w:val="24"/>
          <w:vertAlign w:val="superscript"/>
          <w:lang w:eastAsia="en-US"/>
        </w:rPr>
        <w:t>1</w:t>
      </w:r>
      <w:r w:rsidRPr="00B913A2">
        <w:rPr>
          <w:rFonts w:ascii="Arial" w:hAnsi="Arial"/>
          <w:sz w:val="22"/>
          <w:szCs w:val="24"/>
          <w:lang w:eastAsia="en-US"/>
        </w:rPr>
        <w:t xml:space="preserve">: 1. </w:t>
      </w:r>
      <w:r w:rsidR="00F14B7C">
        <w:rPr>
          <w:rFonts w:ascii="Arial" w:hAnsi="Arial"/>
          <w:sz w:val="22"/>
          <w:szCs w:val="24"/>
          <w:lang w:eastAsia="en-US"/>
        </w:rPr>
        <w:t>AIDP</w:t>
      </w:r>
      <w:r w:rsidRPr="00B913A2">
        <w:rPr>
          <w:rFonts w:ascii="Arial" w:hAnsi="Arial"/>
          <w:sz w:val="22"/>
          <w:szCs w:val="24"/>
          <w:lang w:eastAsia="en-US"/>
        </w:rPr>
        <w:t xml:space="preserve">; 2. </w:t>
      </w:r>
      <w:r w:rsidR="004E2781">
        <w:rPr>
          <w:rFonts w:ascii="Arial" w:hAnsi="Arial"/>
          <w:sz w:val="22"/>
          <w:szCs w:val="24"/>
          <w:lang w:eastAsia="en-US"/>
        </w:rPr>
        <w:t>AMAN</w:t>
      </w:r>
      <w:r w:rsidRPr="00B913A2">
        <w:rPr>
          <w:rFonts w:ascii="Arial" w:hAnsi="Arial"/>
          <w:sz w:val="22"/>
          <w:szCs w:val="24"/>
          <w:lang w:eastAsia="en-US"/>
        </w:rPr>
        <w:t xml:space="preserve">, cuando en ausencia de parámetros de desmielinización se registraban amplitudes de los potenciales de acción musculares compuestos distales </w:t>
      </w:r>
      <w:r w:rsidR="003533D8">
        <w:rPr>
          <w:rFonts w:ascii="Arial" w:hAnsi="Arial"/>
          <w:sz w:val="22"/>
          <w:szCs w:val="24"/>
          <w:lang w:eastAsia="en-US"/>
        </w:rPr>
        <w:t>&lt;</w:t>
      </w:r>
      <w:r w:rsidRPr="00B913A2">
        <w:rPr>
          <w:rFonts w:ascii="Arial" w:hAnsi="Arial"/>
          <w:sz w:val="22"/>
          <w:szCs w:val="24"/>
          <w:lang w:eastAsia="en-US"/>
        </w:rPr>
        <w:t xml:space="preserve">80% del límite normal inferior en dos o más nervios motores; 3. </w:t>
      </w:r>
      <w:r w:rsidR="00400D70">
        <w:rPr>
          <w:rFonts w:ascii="Arial" w:hAnsi="Arial"/>
          <w:sz w:val="22"/>
          <w:szCs w:val="24"/>
          <w:lang w:eastAsia="en-US"/>
        </w:rPr>
        <w:t xml:space="preserve">AMSAN, cuando </w:t>
      </w:r>
      <w:r w:rsidRPr="00B913A2">
        <w:rPr>
          <w:rFonts w:ascii="Arial" w:hAnsi="Arial"/>
          <w:sz w:val="22"/>
          <w:szCs w:val="24"/>
          <w:lang w:eastAsia="en-US"/>
        </w:rPr>
        <w:t xml:space="preserve">con patrón de </w:t>
      </w:r>
      <w:r w:rsidR="00BC4474">
        <w:rPr>
          <w:rFonts w:ascii="Arial" w:hAnsi="Arial"/>
          <w:sz w:val="22"/>
          <w:szCs w:val="24"/>
          <w:lang w:eastAsia="en-US"/>
        </w:rPr>
        <w:t>AMAN</w:t>
      </w:r>
      <w:r w:rsidRPr="00B913A2">
        <w:rPr>
          <w:rFonts w:ascii="Arial" w:hAnsi="Arial"/>
          <w:sz w:val="22"/>
          <w:szCs w:val="24"/>
          <w:lang w:eastAsia="en-US"/>
        </w:rPr>
        <w:t xml:space="preserve"> se registraban además disminución de la amplitud de los potenciales de acción de nervios sensitivos</w:t>
      </w:r>
      <w:r w:rsidR="00400D70">
        <w:rPr>
          <w:rFonts w:ascii="Arial" w:hAnsi="Arial"/>
          <w:sz w:val="22"/>
          <w:szCs w:val="24"/>
          <w:lang w:eastAsia="en-US"/>
        </w:rPr>
        <w:t xml:space="preserve"> &lt;</w:t>
      </w:r>
      <w:r w:rsidRPr="00B913A2">
        <w:rPr>
          <w:rFonts w:ascii="Arial" w:hAnsi="Arial"/>
          <w:sz w:val="22"/>
          <w:szCs w:val="24"/>
          <w:lang w:eastAsia="en-US"/>
        </w:rPr>
        <w:t xml:space="preserve">50% del límite normal inferior en dos o más nervios. </w:t>
      </w:r>
    </w:p>
    <w:p w14:paraId="414968B1" w14:textId="77777777" w:rsidR="00E663B7" w:rsidRDefault="00E663B7">
      <w:pPr>
        <w:pStyle w:val="Formatolibre"/>
        <w:spacing w:after="0"/>
        <w:rPr>
          <w:rFonts w:ascii="Times" w:hAnsi="Times"/>
          <w:sz w:val="22"/>
          <w:shd w:val="clear" w:color="auto" w:fill="FFFF00"/>
        </w:rPr>
      </w:pPr>
    </w:p>
    <w:p w14:paraId="3CEC5043" w14:textId="77AB435C" w:rsidR="00147D97" w:rsidRDefault="004C4C8F" w:rsidP="00F413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ind w:firstLine="708"/>
        <w:rPr>
          <w:sz w:val="22"/>
        </w:rPr>
      </w:pPr>
      <w:r w:rsidRPr="00191A73">
        <w:rPr>
          <w:sz w:val="22"/>
        </w:rPr>
        <w:t>Se describen</w:t>
      </w:r>
      <w:r w:rsidRPr="004C4C8F">
        <w:rPr>
          <w:sz w:val="22"/>
        </w:rPr>
        <w:t xml:space="preserve"> las frecuencias relativas como porcentajes. Las variables cuantitativas continuas se describen como media aritmética y desviación estándar o con mínimo y máximo, según correspondan a una distribución normal o no paramétrica, respectivamente. </w:t>
      </w:r>
      <w:r w:rsidR="00E663B7">
        <w:rPr>
          <w:sz w:val="22"/>
        </w:rPr>
        <w:t>La prueba</w:t>
      </w:r>
      <w:r w:rsidR="005A45DF">
        <w:rPr>
          <w:sz w:val="22"/>
        </w:rPr>
        <w:t xml:space="preserve"> chi cuadrada </w:t>
      </w:r>
      <w:r w:rsidR="00E663B7">
        <w:rPr>
          <w:sz w:val="22"/>
        </w:rPr>
        <w:t xml:space="preserve">de Pearson fue usada para comparar las frecuencias de variables nominales cualitativas, entre dos grupos, o para evaluar la homogeneidad en la distribución de dichas variables entre tres o más grupos. En la prueba </w:t>
      </w:r>
      <w:r w:rsidR="001D7A33">
        <w:rPr>
          <w:sz w:val="22"/>
        </w:rPr>
        <w:t xml:space="preserve">chi cuadrada </w:t>
      </w:r>
      <w:r w:rsidR="00E663B7">
        <w:rPr>
          <w:sz w:val="22"/>
        </w:rPr>
        <w:t xml:space="preserve">se empleó la corrección de Yates cuando la frecuencia de una calificación de alguna variable nominal en un grupo determinado (casillero de la tabla de 2x2) fuera &lt; 5, y la prueba exacta de Fisher cuando dicha frecuencia fuera = 0. La prueba </w:t>
      </w:r>
      <w:r w:rsidR="00E663B7">
        <w:rPr>
          <w:rFonts w:ascii="Arial Italic" w:hAnsi="Arial Italic"/>
          <w:sz w:val="22"/>
        </w:rPr>
        <w:t xml:space="preserve">t </w:t>
      </w:r>
      <w:r w:rsidR="00E663B7">
        <w:rPr>
          <w:sz w:val="22"/>
        </w:rPr>
        <w:t>de Student fue usada en la comparación de variables cuantitativas continuas de distrib</w:t>
      </w:r>
      <w:r w:rsidR="00FA7499">
        <w:rPr>
          <w:sz w:val="22"/>
        </w:rPr>
        <w:t xml:space="preserve">ución normal, entre dos grupos, o la prueba </w:t>
      </w:r>
      <w:r w:rsidR="00FA7499" w:rsidRPr="00FA7499">
        <w:rPr>
          <w:i/>
          <w:sz w:val="22"/>
        </w:rPr>
        <w:t xml:space="preserve">U </w:t>
      </w:r>
      <w:r w:rsidR="00FA7499">
        <w:rPr>
          <w:sz w:val="22"/>
        </w:rPr>
        <w:t xml:space="preserve">de Mann-Whitney cuando la distribución no fue normal (o </w:t>
      </w:r>
      <w:r w:rsidR="00BF5E1B">
        <w:rPr>
          <w:sz w:val="22"/>
        </w:rPr>
        <w:t>Kruskal</w:t>
      </w:r>
      <w:r w:rsidR="00FA7499">
        <w:rPr>
          <w:sz w:val="22"/>
        </w:rPr>
        <w:t xml:space="preserve">-Wallis en más de 2 grupos). </w:t>
      </w:r>
      <w:r w:rsidR="00E663B7">
        <w:rPr>
          <w:sz w:val="22"/>
        </w:rPr>
        <w:t xml:space="preserve">Todos los valores de p para comparaciones fueron calculados a dos colas y considerados como significativos cuando p &lt; 0.05. </w:t>
      </w:r>
      <w:r w:rsidR="007C7FCF">
        <w:rPr>
          <w:sz w:val="22"/>
        </w:rPr>
        <w:t>Se construyeron análisis actuariales con el método de Kaplan-Meier para evaluar la probabilidad de un puntaje en la escala de discapacidad funcional al alta &gt;</w:t>
      </w:r>
      <w:r w:rsidR="00CC0778">
        <w:rPr>
          <w:sz w:val="22"/>
        </w:rPr>
        <w:t xml:space="preserve"> </w:t>
      </w:r>
      <w:r w:rsidR="007C7FCF">
        <w:rPr>
          <w:sz w:val="22"/>
        </w:rPr>
        <w:t xml:space="preserve">2. </w:t>
      </w:r>
      <w:r w:rsidR="00E663B7">
        <w:rPr>
          <w:sz w:val="22"/>
        </w:rPr>
        <w:t>El paquete estadístico SPSS v17.0 será usado en todos los cálculos.</w:t>
      </w:r>
    </w:p>
    <w:p w14:paraId="00440AF9" w14:textId="77777777" w:rsidR="00F4131E" w:rsidRPr="00F4131E" w:rsidRDefault="00F4131E" w:rsidP="00F413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ind w:firstLine="708"/>
        <w:rPr>
          <w:sz w:val="22"/>
        </w:rPr>
      </w:pPr>
    </w:p>
    <w:p w14:paraId="4B753A22" w14:textId="7DA4F8DE" w:rsidR="00E663B7" w:rsidRDefault="00E663B7">
      <w:pPr>
        <w:pStyle w:val="Ttulo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lang w:val="es-ES_tradnl"/>
        </w:rPr>
      </w:pPr>
      <w:r>
        <w:rPr>
          <w:rFonts w:ascii="Arial Bold" w:hAnsi="Arial Bold"/>
          <w:sz w:val="22"/>
          <w:lang w:val="es-ES_tradnl"/>
        </w:rPr>
        <w:lastRenderedPageBreak/>
        <w:t>RESULTADOS</w:t>
      </w:r>
    </w:p>
    <w:p w14:paraId="6B43FD5F" w14:textId="77777777" w:rsidR="003C2353" w:rsidRPr="003C2353" w:rsidRDefault="003C2353" w:rsidP="009646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r w:rsidRPr="003C2353">
        <w:rPr>
          <w:sz w:val="22"/>
        </w:rPr>
        <w:t>En el presente estud</w:t>
      </w:r>
      <w:r w:rsidR="001B071B">
        <w:rPr>
          <w:sz w:val="22"/>
        </w:rPr>
        <w:t>io durante un periodo de 6 años</w:t>
      </w:r>
      <w:r w:rsidRPr="003C2353">
        <w:rPr>
          <w:sz w:val="22"/>
        </w:rPr>
        <w:t xml:space="preserve"> se admitieron 25 pacientes con diagnóstico de SGB, </w:t>
      </w:r>
      <w:r w:rsidR="00D3476A">
        <w:rPr>
          <w:sz w:val="22"/>
        </w:rPr>
        <w:t>predominando el sexo masculino, con 56%,</w:t>
      </w:r>
      <w:r w:rsidRPr="003C2353">
        <w:rPr>
          <w:sz w:val="22"/>
        </w:rPr>
        <w:t xml:space="preserve"> frente a un 44% en el sexo femenino, lo que corresponde a un relación de 1.3 a 1. La edad media de presentación fue de 38.0 años ± 12.5 (</w:t>
      </w:r>
      <w:r w:rsidR="00DC7AE6">
        <w:rPr>
          <w:sz w:val="22"/>
        </w:rPr>
        <w:t xml:space="preserve">límites de 18 a </w:t>
      </w:r>
      <w:r w:rsidRPr="003C2353">
        <w:rPr>
          <w:sz w:val="22"/>
        </w:rPr>
        <w:t>59</w:t>
      </w:r>
      <w:r w:rsidR="00DC7AE6">
        <w:rPr>
          <w:sz w:val="22"/>
        </w:rPr>
        <w:t xml:space="preserve"> </w:t>
      </w:r>
      <w:r w:rsidRPr="003C2353">
        <w:rPr>
          <w:sz w:val="22"/>
        </w:rPr>
        <w:t>años). El 56% de los pacientes presentaron antecedentes infecciosos en el mes pr</w:t>
      </w:r>
      <w:r w:rsidR="00BC61F5">
        <w:rPr>
          <w:sz w:val="22"/>
        </w:rPr>
        <w:t>evio; de ellos, el 50% gastrointestinal y</w:t>
      </w:r>
      <w:r w:rsidRPr="003C2353">
        <w:rPr>
          <w:sz w:val="22"/>
        </w:rPr>
        <w:t xml:space="preserve"> 50% </w:t>
      </w:r>
      <w:r w:rsidR="00BC61F5">
        <w:rPr>
          <w:sz w:val="22"/>
        </w:rPr>
        <w:t>infecciones respiratorias. E</w:t>
      </w:r>
      <w:r w:rsidRPr="003C2353">
        <w:rPr>
          <w:sz w:val="22"/>
        </w:rPr>
        <w:t xml:space="preserve">n el 86% de estos </w:t>
      </w:r>
      <w:r w:rsidR="00BC61F5">
        <w:rPr>
          <w:sz w:val="22"/>
        </w:rPr>
        <w:t xml:space="preserve">el SGB </w:t>
      </w:r>
      <w:r w:rsidRPr="003C2353">
        <w:rPr>
          <w:sz w:val="22"/>
        </w:rPr>
        <w:t>ocurrió dentro de las dos semanas previas, con una mediana de 4.0 días (</w:t>
      </w:r>
      <w:r w:rsidR="0087773F">
        <w:rPr>
          <w:sz w:val="22"/>
        </w:rPr>
        <w:t xml:space="preserve">límites: </w:t>
      </w:r>
      <w:r w:rsidRPr="003C2353">
        <w:rPr>
          <w:sz w:val="22"/>
        </w:rPr>
        <w:t>1-30 días) entre el antecedente infeccioso e inicio de las manifestaciones clínicas de SGB.</w:t>
      </w:r>
    </w:p>
    <w:p w14:paraId="2A5C093E" w14:textId="77777777" w:rsidR="003C2353" w:rsidRPr="003C2353" w:rsidRDefault="003C2353" w:rsidP="009646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r w:rsidRPr="003C2353">
        <w:rPr>
          <w:sz w:val="22"/>
        </w:rPr>
        <w:tab/>
        <w:t xml:space="preserve"> El tiempo promedio desde que se inicia</w:t>
      </w:r>
      <w:r w:rsidR="00B73A18">
        <w:rPr>
          <w:sz w:val="22"/>
        </w:rPr>
        <w:t>ro</w:t>
      </w:r>
      <w:r w:rsidRPr="003C2353">
        <w:rPr>
          <w:sz w:val="22"/>
        </w:rPr>
        <w:t>n los síntomas del SGB hasta alcanzar el déficit máximo fue de 4.9 días (</w:t>
      </w:r>
      <w:r w:rsidR="00B73A18">
        <w:rPr>
          <w:sz w:val="22"/>
        </w:rPr>
        <w:t xml:space="preserve">límites: </w:t>
      </w:r>
      <w:r w:rsidRPr="003C2353">
        <w:rPr>
          <w:sz w:val="22"/>
        </w:rPr>
        <w:t xml:space="preserve">1-18 días). En la presentación clínica predominó el déficit motor en el </w:t>
      </w:r>
      <w:r w:rsidR="00B73A18">
        <w:rPr>
          <w:sz w:val="22"/>
        </w:rPr>
        <w:t>92% de los pacientes, teniendo é</w:t>
      </w:r>
      <w:r w:rsidRPr="003C2353">
        <w:rPr>
          <w:sz w:val="22"/>
        </w:rPr>
        <w:t>ste un patrón de tipo ascendent</w:t>
      </w:r>
      <w:r w:rsidR="00B73A18">
        <w:rPr>
          <w:sz w:val="22"/>
        </w:rPr>
        <w:t xml:space="preserve">e en 61%, generalizado en </w:t>
      </w:r>
      <w:r w:rsidR="008B20FC">
        <w:rPr>
          <w:sz w:val="22"/>
        </w:rPr>
        <w:t>22% y descendente en 17%. L</w:t>
      </w:r>
      <w:r w:rsidRPr="003C2353">
        <w:rPr>
          <w:sz w:val="22"/>
        </w:rPr>
        <w:t>os reflejos de estiramiento muscular se afectaron en el 100% de los pacientes (76% arreflexia, 24% h</w:t>
      </w:r>
      <w:r w:rsidR="007F00B5">
        <w:rPr>
          <w:sz w:val="22"/>
        </w:rPr>
        <w:t>iporreflexia)</w:t>
      </w:r>
      <w:r w:rsidR="00B84D1D">
        <w:rPr>
          <w:sz w:val="22"/>
        </w:rPr>
        <w:t xml:space="preserve"> (F</w:t>
      </w:r>
      <w:r w:rsidR="00B87983">
        <w:rPr>
          <w:sz w:val="22"/>
        </w:rPr>
        <w:t>igura 1)</w:t>
      </w:r>
      <w:r w:rsidR="007F00B5">
        <w:rPr>
          <w:sz w:val="22"/>
        </w:rPr>
        <w:t>. Las parestesias s</w:t>
      </w:r>
      <w:r w:rsidRPr="003C2353">
        <w:rPr>
          <w:sz w:val="22"/>
        </w:rPr>
        <w:t>e presentaron en el 64% y finalmente, la ataxia y oftalmoplejía se presentaron en el 8%. La afectación a nervios craneales</w:t>
      </w:r>
      <w:r w:rsidR="00CA1D45">
        <w:rPr>
          <w:sz w:val="22"/>
        </w:rPr>
        <w:t xml:space="preserve"> ocurrió en el 60% de los casos,</w:t>
      </w:r>
      <w:r w:rsidRPr="003C2353">
        <w:rPr>
          <w:sz w:val="22"/>
        </w:rPr>
        <w:t xml:space="preserve"> de ellos se vieron afectados los nervios craneales b</w:t>
      </w:r>
      <w:r w:rsidR="00CA1D45">
        <w:rPr>
          <w:sz w:val="22"/>
        </w:rPr>
        <w:t>ulbares IX, X y XI en el 53%, los</w:t>
      </w:r>
      <w:r w:rsidRPr="003C2353">
        <w:rPr>
          <w:sz w:val="22"/>
        </w:rPr>
        <w:t xml:space="preserve"> nervios faciales en el 35% y los nervios oculomotores </w:t>
      </w:r>
      <w:r w:rsidR="00E72DE1">
        <w:rPr>
          <w:sz w:val="22"/>
        </w:rPr>
        <w:t>(</w:t>
      </w:r>
      <w:r w:rsidRPr="003C2353">
        <w:rPr>
          <w:sz w:val="22"/>
        </w:rPr>
        <w:t>III, IV y VI</w:t>
      </w:r>
      <w:r w:rsidR="00E72DE1">
        <w:rPr>
          <w:sz w:val="22"/>
        </w:rPr>
        <w:t>)</w:t>
      </w:r>
      <w:r w:rsidRPr="003C2353">
        <w:rPr>
          <w:sz w:val="22"/>
        </w:rPr>
        <w:t xml:space="preserve"> en el 12%. </w:t>
      </w:r>
    </w:p>
    <w:p w14:paraId="27DB605F" w14:textId="77777777" w:rsidR="003C2353" w:rsidRPr="003C2353" w:rsidRDefault="003C2353" w:rsidP="009646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r w:rsidRPr="003C2353">
        <w:rPr>
          <w:sz w:val="22"/>
        </w:rPr>
        <w:tab/>
        <w:t xml:space="preserve">Se analizó </w:t>
      </w:r>
      <w:r w:rsidR="006E3EB8">
        <w:rPr>
          <w:sz w:val="22"/>
        </w:rPr>
        <w:t>el LCR del 84% de los pacientes, y</w:t>
      </w:r>
      <w:r w:rsidRPr="003C2353">
        <w:rPr>
          <w:sz w:val="22"/>
        </w:rPr>
        <w:t xml:space="preserve"> se demostró disociación </w:t>
      </w:r>
      <w:r w:rsidR="006E3EB8">
        <w:rPr>
          <w:sz w:val="22"/>
        </w:rPr>
        <w:t>proteino-</w:t>
      </w:r>
      <w:r w:rsidRPr="003C2353">
        <w:rPr>
          <w:sz w:val="22"/>
        </w:rPr>
        <w:t xml:space="preserve">citológica en el 81%, con un valor promedio de proteínas </w:t>
      </w:r>
      <w:r w:rsidR="00733BE0">
        <w:rPr>
          <w:sz w:val="22"/>
        </w:rPr>
        <w:t xml:space="preserve">en LCR </w:t>
      </w:r>
      <w:r w:rsidRPr="003C2353">
        <w:rPr>
          <w:sz w:val="22"/>
        </w:rPr>
        <w:t>de 91.5</w:t>
      </w:r>
      <w:r w:rsidR="00733BE0">
        <w:rPr>
          <w:sz w:val="22"/>
        </w:rPr>
        <w:t xml:space="preserve"> </w:t>
      </w:r>
      <w:r w:rsidR="000B4D06">
        <w:rPr>
          <w:sz w:val="22"/>
        </w:rPr>
        <w:t>mg/dl (límites: 28</w:t>
      </w:r>
      <w:r w:rsidRPr="003C2353">
        <w:rPr>
          <w:sz w:val="22"/>
        </w:rPr>
        <w:t>-267 mg/dl). La punción lumbar se realizó en la mayoría de los casos en los primeros 10 días de la enfermedad (media 7.1 días).</w:t>
      </w:r>
    </w:p>
    <w:p w14:paraId="260CF5FA" w14:textId="77777777" w:rsidR="003C2353" w:rsidRPr="003C2353" w:rsidRDefault="003C2353" w:rsidP="009646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r w:rsidRPr="003C2353">
        <w:rPr>
          <w:sz w:val="22"/>
        </w:rPr>
        <w:tab/>
        <w:t>Se efectuó estudio neurofisiológi</w:t>
      </w:r>
      <w:r w:rsidR="00E54FF6">
        <w:rPr>
          <w:sz w:val="22"/>
        </w:rPr>
        <w:t>co en el 92% de los pacientes. E</w:t>
      </w:r>
      <w:r w:rsidRPr="003C2353">
        <w:rPr>
          <w:sz w:val="22"/>
        </w:rPr>
        <w:t>l tiempo promedio para la realización del estudio fue de 7.7 días (</w:t>
      </w:r>
      <w:r w:rsidR="00E54FF6">
        <w:rPr>
          <w:sz w:val="22"/>
        </w:rPr>
        <w:t xml:space="preserve">límites: </w:t>
      </w:r>
      <w:r w:rsidRPr="003C2353">
        <w:rPr>
          <w:sz w:val="22"/>
        </w:rPr>
        <w:t xml:space="preserve">3 -17días). El subtipo neurofisiológico más frecuente fue </w:t>
      </w:r>
      <w:r w:rsidR="00B20778">
        <w:rPr>
          <w:sz w:val="22"/>
        </w:rPr>
        <w:t xml:space="preserve">AMSAN </w:t>
      </w:r>
      <w:r w:rsidRPr="003C2353">
        <w:rPr>
          <w:sz w:val="22"/>
        </w:rPr>
        <w:t xml:space="preserve">con el 39.1%, seguido de </w:t>
      </w:r>
      <w:r w:rsidR="00B20778">
        <w:rPr>
          <w:sz w:val="22"/>
        </w:rPr>
        <w:t>AMAN</w:t>
      </w:r>
      <w:r w:rsidRPr="003C2353">
        <w:rPr>
          <w:sz w:val="22"/>
        </w:rPr>
        <w:t xml:space="preserve"> con 26.1%, </w:t>
      </w:r>
      <w:r w:rsidR="00B20778">
        <w:rPr>
          <w:sz w:val="22"/>
        </w:rPr>
        <w:t>AIDP</w:t>
      </w:r>
      <w:r w:rsidRPr="003C2353">
        <w:rPr>
          <w:sz w:val="22"/>
        </w:rPr>
        <w:t xml:space="preserve"> con 26.1% y SMF con el 8.7%.</w:t>
      </w:r>
    </w:p>
    <w:p w14:paraId="5A454D03" w14:textId="77777777" w:rsidR="003C2353" w:rsidRPr="003C2353" w:rsidRDefault="003C2353" w:rsidP="009646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r w:rsidRPr="003C2353">
        <w:rPr>
          <w:sz w:val="22"/>
        </w:rPr>
        <w:lastRenderedPageBreak/>
        <w:tab/>
        <w:t>Se observó predilección de algunos subtipos neurofisiológicos por las estaciones del año</w:t>
      </w:r>
      <w:r w:rsidR="00B84D1D">
        <w:rPr>
          <w:sz w:val="22"/>
        </w:rPr>
        <w:t xml:space="preserve"> (F</w:t>
      </w:r>
      <w:r w:rsidR="00B87983">
        <w:rPr>
          <w:sz w:val="22"/>
        </w:rPr>
        <w:t>igura 2)</w:t>
      </w:r>
      <w:r w:rsidRPr="003C2353">
        <w:rPr>
          <w:sz w:val="22"/>
        </w:rPr>
        <w:t xml:space="preserve">. El subtipo electrofisiológico de </w:t>
      </w:r>
      <w:r w:rsidR="00C264FE">
        <w:rPr>
          <w:sz w:val="22"/>
        </w:rPr>
        <w:t>AIDP</w:t>
      </w:r>
      <w:r w:rsidRPr="003C2353">
        <w:rPr>
          <w:sz w:val="22"/>
        </w:rPr>
        <w:t xml:space="preserve"> ocurrió en el 83% de los casos en los meses</w:t>
      </w:r>
      <w:r w:rsidR="00C264FE">
        <w:rPr>
          <w:sz w:val="22"/>
        </w:rPr>
        <w:t xml:space="preserve"> de primavera y 17% en verano. E</w:t>
      </w:r>
      <w:r w:rsidRPr="003C2353">
        <w:rPr>
          <w:sz w:val="22"/>
        </w:rPr>
        <w:t xml:space="preserve">l subtipo </w:t>
      </w:r>
      <w:r w:rsidR="00C264FE">
        <w:rPr>
          <w:sz w:val="22"/>
        </w:rPr>
        <w:t>AMSAN</w:t>
      </w:r>
      <w:r w:rsidRPr="003C2353">
        <w:rPr>
          <w:sz w:val="22"/>
        </w:rPr>
        <w:t xml:space="preserve"> ocurrió en el 67% de los casos en los meses de otoño, 22% en invierno y 11% en primavera;</w:t>
      </w:r>
      <w:r w:rsidR="00C264FE">
        <w:rPr>
          <w:sz w:val="22"/>
        </w:rPr>
        <w:t xml:space="preserve"> mientras que</w:t>
      </w:r>
      <w:r w:rsidRPr="003C2353">
        <w:rPr>
          <w:sz w:val="22"/>
        </w:rPr>
        <w:t xml:space="preserve"> el subtipo </w:t>
      </w:r>
      <w:r w:rsidR="00367058">
        <w:rPr>
          <w:sz w:val="22"/>
        </w:rPr>
        <w:t xml:space="preserve">AMAN </w:t>
      </w:r>
      <w:r w:rsidRPr="003C2353">
        <w:rPr>
          <w:sz w:val="22"/>
        </w:rPr>
        <w:t xml:space="preserve">ocurrió en el 50% de los casos en los meses de invierno, </w:t>
      </w:r>
      <w:r w:rsidR="00CE5C20">
        <w:rPr>
          <w:sz w:val="22"/>
        </w:rPr>
        <w:t xml:space="preserve">y </w:t>
      </w:r>
      <w:r w:rsidRPr="003C2353">
        <w:rPr>
          <w:sz w:val="22"/>
        </w:rPr>
        <w:t>16.</w:t>
      </w:r>
      <w:r w:rsidR="0075320E">
        <w:rPr>
          <w:sz w:val="22"/>
        </w:rPr>
        <w:t>6% en primavera, verano y otoño</w:t>
      </w:r>
      <w:r w:rsidR="00CE5C20">
        <w:rPr>
          <w:sz w:val="22"/>
        </w:rPr>
        <w:t>. Finalmente</w:t>
      </w:r>
      <w:r w:rsidRPr="003C2353">
        <w:rPr>
          <w:sz w:val="22"/>
        </w:rPr>
        <w:t xml:space="preserve"> el subtipo SMF ocurrió en el 50% de los casos en primavera y 50% en otoño</w:t>
      </w:r>
      <w:r w:rsidR="007F52E4">
        <w:rPr>
          <w:sz w:val="22"/>
        </w:rPr>
        <w:t xml:space="preserve"> </w:t>
      </w:r>
      <w:r w:rsidR="00B84D1D">
        <w:rPr>
          <w:sz w:val="22"/>
        </w:rPr>
        <w:t>(F</w:t>
      </w:r>
      <w:r w:rsidR="007F52E4" w:rsidRPr="007F52E4">
        <w:rPr>
          <w:sz w:val="22"/>
        </w:rPr>
        <w:t>igura 2)</w:t>
      </w:r>
      <w:r w:rsidRPr="003C2353">
        <w:rPr>
          <w:sz w:val="22"/>
        </w:rPr>
        <w:t xml:space="preserve">. </w:t>
      </w:r>
    </w:p>
    <w:p w14:paraId="2FA85A16" w14:textId="77777777" w:rsidR="003C2353" w:rsidRPr="00BF5E1B" w:rsidRDefault="00274B79" w:rsidP="009646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szCs w:val="22"/>
        </w:rPr>
      </w:pPr>
      <w:r>
        <w:rPr>
          <w:sz w:val="22"/>
          <w:szCs w:val="22"/>
        </w:rPr>
        <w:tab/>
      </w:r>
      <w:r w:rsidR="003C2353" w:rsidRPr="00BF5E1B">
        <w:rPr>
          <w:sz w:val="22"/>
          <w:szCs w:val="22"/>
        </w:rPr>
        <w:t>El 60% de los pacientes r</w:t>
      </w:r>
      <w:r>
        <w:rPr>
          <w:sz w:val="22"/>
          <w:szCs w:val="22"/>
        </w:rPr>
        <w:t>ecibió terapia inmunomoduladora,</w:t>
      </w:r>
      <w:r w:rsidR="003C2353" w:rsidRPr="00BF5E1B">
        <w:rPr>
          <w:sz w:val="22"/>
          <w:szCs w:val="22"/>
        </w:rPr>
        <w:t xml:space="preserve"> siendo la medida más frecuentemente empleada la plasmaféresis (PF) en el 52% de los casos e i</w:t>
      </w:r>
      <w:r>
        <w:rPr>
          <w:sz w:val="22"/>
          <w:szCs w:val="22"/>
        </w:rPr>
        <w:t>nmunoglobulina intravenosa (IgG-</w:t>
      </w:r>
      <w:r w:rsidR="003C2353" w:rsidRPr="00BF5E1B">
        <w:rPr>
          <w:sz w:val="22"/>
          <w:szCs w:val="22"/>
        </w:rPr>
        <w:t>IV) en el 8%. Al</w:t>
      </w:r>
      <w:r>
        <w:rPr>
          <w:sz w:val="22"/>
          <w:szCs w:val="22"/>
        </w:rPr>
        <w:t xml:space="preserve"> todos </w:t>
      </w:r>
      <w:r w:rsidR="003C2353" w:rsidRPr="00BF5E1B">
        <w:rPr>
          <w:sz w:val="22"/>
          <w:szCs w:val="22"/>
        </w:rPr>
        <w:t>los pacientes se les brindó medid</w:t>
      </w:r>
      <w:r>
        <w:rPr>
          <w:sz w:val="22"/>
          <w:szCs w:val="22"/>
        </w:rPr>
        <w:t xml:space="preserve">as de soporte y rehabilitación </w:t>
      </w:r>
      <w:r w:rsidR="003C2353" w:rsidRPr="00BF5E1B">
        <w:rPr>
          <w:sz w:val="22"/>
          <w:szCs w:val="22"/>
        </w:rPr>
        <w:t xml:space="preserve">temprana. </w:t>
      </w:r>
    </w:p>
    <w:p w14:paraId="6894CA58" w14:textId="77777777" w:rsidR="003C2353" w:rsidRDefault="003C2353" w:rsidP="009646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szCs w:val="22"/>
        </w:rPr>
      </w:pPr>
      <w:r w:rsidRPr="00BF5E1B">
        <w:rPr>
          <w:sz w:val="22"/>
          <w:szCs w:val="22"/>
        </w:rPr>
        <w:tab/>
        <w:t>El 48% de los pacientes requirió ingreso a la unidad de cuidados intensivos con un tiempo de estancia promedio de 11.4 días (</w:t>
      </w:r>
      <w:r w:rsidR="00BD1207">
        <w:rPr>
          <w:sz w:val="22"/>
          <w:szCs w:val="22"/>
        </w:rPr>
        <w:t xml:space="preserve">límites: </w:t>
      </w:r>
      <w:r w:rsidRPr="00BF5E1B">
        <w:rPr>
          <w:sz w:val="22"/>
          <w:szCs w:val="22"/>
        </w:rPr>
        <w:t>2-35 días). El tiempo de estancia hospitalaria total de los pacientes con SGB fue de 18.9 días (</w:t>
      </w:r>
      <w:r w:rsidR="00BB0AA8">
        <w:rPr>
          <w:sz w:val="22"/>
          <w:szCs w:val="22"/>
        </w:rPr>
        <w:t xml:space="preserve">límites: </w:t>
      </w:r>
      <w:r w:rsidRPr="00BF5E1B">
        <w:rPr>
          <w:sz w:val="22"/>
          <w:szCs w:val="22"/>
        </w:rPr>
        <w:t>7-69 días). En la tabla 1 se observan los tiempos de estancia por servicio hospitalario de cada subtipo neurofisiológico.</w:t>
      </w:r>
      <w:r w:rsidR="00BF5E1B">
        <w:rPr>
          <w:sz w:val="22"/>
          <w:szCs w:val="22"/>
        </w:rPr>
        <w:t xml:space="preserve"> </w:t>
      </w:r>
    </w:p>
    <w:p w14:paraId="5669C847" w14:textId="2D6D89D5" w:rsidR="00147D97" w:rsidRDefault="000437B1" w:rsidP="00F413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szCs w:val="20"/>
          <w:lang w:eastAsia="es-ES"/>
        </w:rPr>
      </w:pPr>
      <w:r>
        <w:rPr>
          <w:sz w:val="22"/>
          <w:szCs w:val="22"/>
        </w:rPr>
        <w:tab/>
      </w:r>
      <w:r w:rsidR="00C261BB">
        <w:rPr>
          <w:sz w:val="22"/>
          <w:szCs w:val="22"/>
        </w:rPr>
        <w:t>Un</w:t>
      </w:r>
      <w:r w:rsidR="00BF5E1B" w:rsidRPr="00BF5E1B">
        <w:rPr>
          <w:sz w:val="22"/>
          <w:szCs w:val="22"/>
        </w:rPr>
        <w:t xml:space="preserve"> 76% de los pacientes se agruparon en las escalas de discapacidad funcional de mayor gravedad: 48% estaban en silla de ruedas o en cama (grado 4), y un </w:t>
      </w:r>
      <w:r w:rsidR="00BF5E1B" w:rsidRPr="00191A73">
        <w:rPr>
          <w:sz w:val="22"/>
          <w:szCs w:val="22"/>
        </w:rPr>
        <w:t>28% requirieron ventilación mecánica asistida (grado 5) con un tiempo promedio de 24.6 días (</w:t>
      </w:r>
      <w:r w:rsidR="007C6635" w:rsidRPr="00191A73">
        <w:rPr>
          <w:sz w:val="22"/>
          <w:szCs w:val="22"/>
        </w:rPr>
        <w:t xml:space="preserve">límites: </w:t>
      </w:r>
      <w:r w:rsidR="00BF5E1B" w:rsidRPr="00191A73">
        <w:rPr>
          <w:sz w:val="22"/>
          <w:szCs w:val="22"/>
        </w:rPr>
        <w:t>6-69).</w:t>
      </w:r>
      <w:r w:rsidR="00591590" w:rsidRPr="00191A73">
        <w:rPr>
          <w:sz w:val="22"/>
          <w:szCs w:val="22"/>
        </w:rPr>
        <w:t xml:space="preserve"> </w:t>
      </w:r>
      <w:r w:rsidR="0000197B" w:rsidRPr="00191A73">
        <w:rPr>
          <w:color w:val="auto"/>
          <w:sz w:val="22"/>
        </w:rPr>
        <w:t>Las variedades axonales</w:t>
      </w:r>
      <w:r w:rsidR="005D1F73" w:rsidRPr="00191A73">
        <w:rPr>
          <w:color w:val="auto"/>
          <w:sz w:val="22"/>
        </w:rPr>
        <w:t xml:space="preserve"> (AMAN y AMSAN)</w:t>
      </w:r>
      <w:r w:rsidR="0000197B" w:rsidRPr="00191A73">
        <w:rPr>
          <w:color w:val="auto"/>
          <w:sz w:val="22"/>
        </w:rPr>
        <w:t xml:space="preserve"> presentaron estancia hospitalaria más prolongada (21.7 vs. 10.9 días, p</w:t>
      </w:r>
      <w:r w:rsidR="000A49DC" w:rsidRPr="00191A73">
        <w:rPr>
          <w:color w:val="auto"/>
          <w:sz w:val="22"/>
        </w:rPr>
        <w:t xml:space="preserve"> </w:t>
      </w:r>
      <w:r w:rsidR="0000197B" w:rsidRPr="00191A73">
        <w:rPr>
          <w:color w:val="auto"/>
          <w:sz w:val="22"/>
        </w:rPr>
        <w:t>=</w:t>
      </w:r>
      <w:r w:rsidR="000A49DC" w:rsidRPr="00191A73">
        <w:rPr>
          <w:color w:val="auto"/>
          <w:sz w:val="22"/>
        </w:rPr>
        <w:t xml:space="preserve"> </w:t>
      </w:r>
      <w:r w:rsidR="0000197B" w:rsidRPr="00191A73">
        <w:rPr>
          <w:color w:val="auto"/>
          <w:sz w:val="22"/>
        </w:rPr>
        <w:t>0.008)</w:t>
      </w:r>
      <w:r w:rsidR="00712927" w:rsidRPr="00191A73">
        <w:rPr>
          <w:color w:val="auto"/>
          <w:sz w:val="22"/>
        </w:rPr>
        <w:t xml:space="preserve"> </w:t>
      </w:r>
      <w:r w:rsidR="00191A73" w:rsidRPr="00191A73">
        <w:rPr>
          <w:color w:val="auto"/>
          <w:sz w:val="22"/>
        </w:rPr>
        <w:t>(Figura</w:t>
      </w:r>
      <w:r w:rsidR="00712927" w:rsidRPr="00191A73">
        <w:rPr>
          <w:color w:val="auto"/>
          <w:sz w:val="22"/>
        </w:rPr>
        <w:t xml:space="preserve"> 3)</w:t>
      </w:r>
      <w:r w:rsidR="0000197B" w:rsidRPr="00191A73">
        <w:rPr>
          <w:color w:val="auto"/>
          <w:sz w:val="22"/>
        </w:rPr>
        <w:t xml:space="preserve"> y una tendencia a mayor necesidad de ventilación mecánica (33.3% vs. 0%, p</w:t>
      </w:r>
      <w:r w:rsidR="000A49DC" w:rsidRPr="00191A73">
        <w:rPr>
          <w:color w:val="auto"/>
          <w:sz w:val="22"/>
        </w:rPr>
        <w:t xml:space="preserve"> </w:t>
      </w:r>
      <w:r w:rsidR="0000197B" w:rsidRPr="00191A73">
        <w:rPr>
          <w:color w:val="auto"/>
          <w:sz w:val="22"/>
        </w:rPr>
        <w:t>=</w:t>
      </w:r>
      <w:r w:rsidR="000A49DC" w:rsidRPr="00191A73">
        <w:rPr>
          <w:color w:val="auto"/>
          <w:sz w:val="22"/>
        </w:rPr>
        <w:t xml:space="preserve"> </w:t>
      </w:r>
      <w:r w:rsidR="00C01FCA" w:rsidRPr="00191A73">
        <w:rPr>
          <w:color w:val="auto"/>
          <w:sz w:val="22"/>
        </w:rPr>
        <w:t>0.12</w:t>
      </w:r>
      <w:r w:rsidR="0000197B" w:rsidRPr="00191A73">
        <w:rPr>
          <w:color w:val="auto"/>
          <w:sz w:val="22"/>
        </w:rPr>
        <w:t>).</w:t>
      </w:r>
      <w:r w:rsidR="000539D4" w:rsidRPr="00191A73">
        <w:rPr>
          <w:color w:val="auto"/>
          <w:sz w:val="22"/>
        </w:rPr>
        <w:t xml:space="preserve"> </w:t>
      </w:r>
      <w:r w:rsidR="00712927" w:rsidRPr="00191A73">
        <w:rPr>
          <w:sz w:val="22"/>
          <w:szCs w:val="22"/>
        </w:rPr>
        <w:t xml:space="preserve">En el análisis actuarial de tipo Kaplan-Meier no se identificaron variables significativamente asociadas con un puntaje en la escala de Hughes &gt;2 (Figura 4). </w:t>
      </w:r>
      <w:r w:rsidR="000539D4" w:rsidRPr="00191A73">
        <w:rPr>
          <w:color w:val="auto"/>
          <w:sz w:val="22"/>
        </w:rPr>
        <w:t xml:space="preserve">Además, se observó una tendencia no significativa hacia una </w:t>
      </w:r>
      <w:r w:rsidR="00712927" w:rsidRPr="00191A73">
        <w:rPr>
          <w:color w:val="auto"/>
          <w:sz w:val="22"/>
        </w:rPr>
        <w:t>may</w:t>
      </w:r>
      <w:r w:rsidR="000539D4" w:rsidRPr="00191A73">
        <w:rPr>
          <w:color w:val="auto"/>
          <w:sz w:val="22"/>
        </w:rPr>
        <w:t>o</w:t>
      </w:r>
      <w:r w:rsidR="00712927" w:rsidRPr="00191A73">
        <w:rPr>
          <w:color w:val="auto"/>
          <w:sz w:val="22"/>
        </w:rPr>
        <w:t>r</w:t>
      </w:r>
      <w:r w:rsidR="000539D4" w:rsidRPr="00191A73">
        <w:rPr>
          <w:color w:val="auto"/>
          <w:sz w:val="22"/>
        </w:rPr>
        <w:t xml:space="preserve"> probabilidad de egreso hospitalario con un puntaje en la escala de discapacidad de Hughes &gt;2 en las variantes axonales</w:t>
      </w:r>
      <w:r w:rsidR="005D1F73" w:rsidRPr="00191A73">
        <w:rPr>
          <w:color w:val="auto"/>
          <w:sz w:val="22"/>
        </w:rPr>
        <w:t>, en comparación con AIDP y SMF (86.7% vs. 50%, p = 0.06)</w:t>
      </w:r>
      <w:r w:rsidR="00CA42B1" w:rsidRPr="00191A73">
        <w:rPr>
          <w:color w:val="auto"/>
          <w:sz w:val="22"/>
        </w:rPr>
        <w:t>.</w:t>
      </w:r>
      <w:r w:rsidR="00C261BB" w:rsidRPr="00191A73">
        <w:rPr>
          <w:color w:val="auto"/>
          <w:sz w:val="22"/>
        </w:rPr>
        <w:t xml:space="preserve"> Como es de esperarse, los pacientes con necesidad de ventilación mecánica presentaron una estancia </w:t>
      </w:r>
      <w:r w:rsidR="00C261BB" w:rsidRPr="00191A73">
        <w:rPr>
          <w:color w:val="auto"/>
          <w:sz w:val="22"/>
        </w:rPr>
        <w:lastRenderedPageBreak/>
        <w:t>hospitalaria promedio mayor, en comparación con otros puntajes en la escala de Hughes (</w:t>
      </w:r>
      <w:r w:rsidR="00FB497C" w:rsidRPr="00191A73">
        <w:rPr>
          <w:color w:val="auto"/>
          <w:sz w:val="22"/>
        </w:rPr>
        <w:t xml:space="preserve">p = </w:t>
      </w:r>
      <w:r w:rsidR="00712927" w:rsidRPr="00191A73">
        <w:rPr>
          <w:color w:val="auto"/>
          <w:sz w:val="22"/>
        </w:rPr>
        <w:t>0.</w:t>
      </w:r>
      <w:r w:rsidR="00FB497C" w:rsidRPr="00191A73">
        <w:rPr>
          <w:color w:val="auto"/>
          <w:sz w:val="22"/>
        </w:rPr>
        <w:t>004).</w:t>
      </w:r>
    </w:p>
    <w:p w14:paraId="389A7643" w14:textId="50CFFEAB" w:rsidR="00E663B7" w:rsidRDefault="00E663B7">
      <w:pPr>
        <w:pStyle w:val="Encabezado1"/>
        <w:tabs>
          <w:tab w:val="clear" w:pos="4419"/>
          <w:tab w:val="clear" w:pos="883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sz w:val="22"/>
        </w:rPr>
      </w:pPr>
      <w:r>
        <w:rPr>
          <w:rFonts w:ascii="Arial Bold" w:hAnsi="Arial Bold"/>
          <w:sz w:val="22"/>
        </w:rPr>
        <w:t>DISCUSIÓN</w:t>
      </w:r>
    </w:p>
    <w:p w14:paraId="18B7C82D" w14:textId="77777777" w:rsidR="009B056E" w:rsidRDefault="00712927" w:rsidP="0049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szCs w:val="20"/>
          <w:lang w:eastAsia="es-ES"/>
        </w:rPr>
      </w:pPr>
      <w:r w:rsidRPr="00191A73">
        <w:rPr>
          <w:sz w:val="22"/>
          <w:szCs w:val="20"/>
          <w:lang w:eastAsia="es-ES"/>
        </w:rPr>
        <w:t>En el presente estudio</w:t>
      </w:r>
      <w:r w:rsidR="00A92EC9" w:rsidRPr="00191A73">
        <w:rPr>
          <w:sz w:val="22"/>
          <w:szCs w:val="20"/>
          <w:lang w:eastAsia="es-ES"/>
        </w:rPr>
        <w:t xml:space="preserve"> encontramos una mayor proporción de variantes axonales, en comparación con lo informado para otras poblaciones occidentales</w:t>
      </w:r>
      <w:r w:rsidR="000907C4" w:rsidRPr="00191A73">
        <w:rPr>
          <w:sz w:val="22"/>
          <w:szCs w:val="20"/>
          <w:lang w:eastAsia="es-ES"/>
        </w:rPr>
        <w:t xml:space="preserve"> y semejantes a lo reportado en poblaciones orientales</w:t>
      </w:r>
      <w:r w:rsidR="00A92EC9" w:rsidRPr="00191A73">
        <w:rPr>
          <w:sz w:val="22"/>
          <w:szCs w:val="20"/>
          <w:lang w:eastAsia="es-ES"/>
        </w:rPr>
        <w:t>. Además se observó</w:t>
      </w:r>
      <w:r w:rsidR="00A92EC9">
        <w:rPr>
          <w:sz w:val="22"/>
          <w:szCs w:val="20"/>
          <w:lang w:eastAsia="es-ES"/>
        </w:rPr>
        <w:t xml:space="preserve"> que estas variantes presentaron una mayor estancia hospitalaria y tendencias consistentes hacia una mayor severidad en su presentación clínica, comparadas con las formas AIDP y SMF. </w:t>
      </w:r>
      <w:r w:rsidR="009B056E">
        <w:rPr>
          <w:sz w:val="22"/>
          <w:szCs w:val="20"/>
          <w:lang w:eastAsia="es-ES"/>
        </w:rPr>
        <w:t>Por otro lado, aunque no de forma significativa, se observó un patrón diferencial de la presentación de las variantes clínicas del SGB según la estación del año, de tal forma que las variantes axonales tendieron a presentarse más en meses relativamente más fríos (otoño e invierno), mientras que las variantes AIDP y SMF presentaron un pico de frecuencia mayor en la primavera.</w:t>
      </w:r>
    </w:p>
    <w:p w14:paraId="5D872609" w14:textId="77777777" w:rsidR="00497A4E" w:rsidRPr="00497A4E" w:rsidRDefault="009B056E" w:rsidP="0049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szCs w:val="20"/>
          <w:lang w:eastAsia="es-ES"/>
        </w:rPr>
      </w:pPr>
      <w:r>
        <w:rPr>
          <w:sz w:val="22"/>
          <w:szCs w:val="20"/>
          <w:lang w:eastAsia="es-ES"/>
        </w:rPr>
        <w:tab/>
      </w:r>
      <w:r w:rsidR="005E2EB3">
        <w:rPr>
          <w:sz w:val="22"/>
          <w:szCs w:val="20"/>
          <w:lang w:eastAsia="es-ES"/>
        </w:rPr>
        <w:t>Algunos</w:t>
      </w:r>
      <w:r w:rsidR="00497A4E" w:rsidRPr="00497A4E">
        <w:rPr>
          <w:sz w:val="22"/>
          <w:szCs w:val="20"/>
          <w:lang w:eastAsia="es-ES"/>
        </w:rPr>
        <w:t xml:space="preserve"> estudios no ha</w:t>
      </w:r>
      <w:r w:rsidR="007E2BDF">
        <w:rPr>
          <w:sz w:val="22"/>
          <w:szCs w:val="20"/>
          <w:lang w:eastAsia="es-ES"/>
        </w:rPr>
        <w:t>n</w:t>
      </w:r>
      <w:r w:rsidR="00497A4E" w:rsidRPr="00497A4E">
        <w:rPr>
          <w:sz w:val="22"/>
          <w:szCs w:val="20"/>
          <w:lang w:eastAsia="es-ES"/>
        </w:rPr>
        <w:t xml:space="preserve"> identificado una relación entre la incidencia y la predilección estacional,</w:t>
      </w:r>
      <w:r w:rsidR="00EB2462">
        <w:rPr>
          <w:sz w:val="22"/>
          <w:szCs w:val="20"/>
          <w:vertAlign w:val="superscript"/>
          <w:lang w:eastAsia="es-ES"/>
        </w:rPr>
        <w:t>32</w:t>
      </w:r>
      <w:r w:rsidR="0005090E">
        <w:rPr>
          <w:sz w:val="22"/>
          <w:szCs w:val="20"/>
          <w:vertAlign w:val="superscript"/>
          <w:lang w:eastAsia="es-ES"/>
        </w:rPr>
        <w:t>,33</w:t>
      </w:r>
      <w:r w:rsidR="00497A4E" w:rsidRPr="00497A4E">
        <w:rPr>
          <w:sz w:val="22"/>
          <w:szCs w:val="20"/>
          <w:lang w:eastAsia="es-ES"/>
        </w:rPr>
        <w:t xml:space="preserve"> a pesar de la asociación clara entre un factor desencadenante infeccioso de vías respiratorias en los meses de invierno</w:t>
      </w:r>
      <w:r w:rsidR="00BA3785">
        <w:rPr>
          <w:sz w:val="22"/>
          <w:szCs w:val="20"/>
          <w:lang w:eastAsia="es-ES"/>
        </w:rPr>
        <w:t>, o de tracto intestinal en meses calurosos</w:t>
      </w:r>
      <w:r w:rsidR="00497A4E" w:rsidRPr="00497A4E">
        <w:rPr>
          <w:sz w:val="22"/>
          <w:szCs w:val="20"/>
          <w:lang w:eastAsia="es-ES"/>
        </w:rPr>
        <w:t xml:space="preserve">. Algunos </w:t>
      </w:r>
      <w:r w:rsidR="007E2BDF">
        <w:rPr>
          <w:sz w:val="22"/>
          <w:szCs w:val="20"/>
          <w:lang w:eastAsia="es-ES"/>
        </w:rPr>
        <w:t>informes</w:t>
      </w:r>
      <w:r w:rsidR="00497A4E" w:rsidRPr="00497A4E">
        <w:rPr>
          <w:sz w:val="22"/>
          <w:szCs w:val="20"/>
          <w:lang w:eastAsia="es-ES"/>
        </w:rPr>
        <w:t xml:space="preserve"> epidemiológicos han demostrado un incremento de casos en los meses de </w:t>
      </w:r>
      <w:r w:rsidR="00DE1DC1">
        <w:rPr>
          <w:sz w:val="22"/>
          <w:szCs w:val="20"/>
          <w:lang w:eastAsia="es-ES"/>
        </w:rPr>
        <w:t>otoño-</w:t>
      </w:r>
      <w:r w:rsidR="00497A4E" w:rsidRPr="00497A4E">
        <w:rPr>
          <w:sz w:val="22"/>
          <w:szCs w:val="20"/>
          <w:lang w:eastAsia="es-ES"/>
        </w:rPr>
        <w:t>invierno</w:t>
      </w:r>
      <w:r w:rsidR="00DE1DC1">
        <w:rPr>
          <w:sz w:val="22"/>
          <w:szCs w:val="20"/>
          <w:lang w:eastAsia="es-ES"/>
        </w:rPr>
        <w:t>.</w:t>
      </w:r>
      <w:r w:rsidR="00141CD5">
        <w:rPr>
          <w:sz w:val="22"/>
          <w:szCs w:val="20"/>
          <w:vertAlign w:val="superscript"/>
          <w:lang w:eastAsia="es-ES"/>
        </w:rPr>
        <w:t>12,15,34</w:t>
      </w:r>
      <w:r w:rsidR="00DE1DC1">
        <w:rPr>
          <w:sz w:val="22"/>
          <w:szCs w:val="20"/>
          <w:lang w:eastAsia="es-ES"/>
        </w:rPr>
        <w:t xml:space="preserve"> Un estudio realizado en </w:t>
      </w:r>
      <w:r w:rsidR="00497A4E" w:rsidRPr="00497A4E">
        <w:rPr>
          <w:sz w:val="22"/>
          <w:szCs w:val="20"/>
          <w:lang w:eastAsia="es-ES"/>
        </w:rPr>
        <w:t xml:space="preserve">Brasil por Rocha </w:t>
      </w:r>
      <w:r w:rsidR="00DE1DC1">
        <w:rPr>
          <w:sz w:val="22"/>
          <w:szCs w:val="20"/>
          <w:lang w:eastAsia="es-ES"/>
        </w:rPr>
        <w:t>y cols.</w:t>
      </w:r>
      <w:r w:rsidR="0042587D" w:rsidRPr="0048153E">
        <w:rPr>
          <w:sz w:val="22"/>
          <w:szCs w:val="20"/>
          <w:vertAlign w:val="superscript"/>
          <w:lang w:eastAsia="es-ES"/>
        </w:rPr>
        <w:t>34</w:t>
      </w:r>
      <w:r w:rsidR="00DE1DC1">
        <w:rPr>
          <w:sz w:val="22"/>
          <w:szCs w:val="20"/>
          <w:lang w:eastAsia="es-ES"/>
        </w:rPr>
        <w:t xml:space="preserve"> </w:t>
      </w:r>
      <w:r w:rsidR="00497A4E" w:rsidRPr="00497A4E">
        <w:rPr>
          <w:sz w:val="22"/>
          <w:szCs w:val="20"/>
          <w:lang w:eastAsia="es-ES"/>
        </w:rPr>
        <w:t xml:space="preserve">en el año 2004 </w:t>
      </w:r>
      <w:r w:rsidR="00DE1DC1">
        <w:rPr>
          <w:sz w:val="22"/>
          <w:szCs w:val="20"/>
          <w:lang w:eastAsia="es-ES"/>
        </w:rPr>
        <w:t>se demostró</w:t>
      </w:r>
      <w:r w:rsidR="001F0814">
        <w:rPr>
          <w:sz w:val="22"/>
          <w:szCs w:val="20"/>
          <w:lang w:eastAsia="es-ES"/>
        </w:rPr>
        <w:t xml:space="preserve"> que el 62% de sus casos ocurrió entre los meses de septiembre a febrero, y el 38</w:t>
      </w:r>
      <w:r w:rsidR="00497A4E" w:rsidRPr="00497A4E">
        <w:rPr>
          <w:sz w:val="22"/>
          <w:szCs w:val="20"/>
          <w:lang w:eastAsia="es-ES"/>
        </w:rPr>
        <w:t>% en el periodo primavera-verano</w:t>
      </w:r>
      <w:r w:rsidR="003A7D6F">
        <w:rPr>
          <w:sz w:val="22"/>
          <w:szCs w:val="20"/>
          <w:lang w:eastAsia="es-ES"/>
        </w:rPr>
        <w:t>, durante los meses de marzo a a</w:t>
      </w:r>
      <w:r w:rsidR="00497A4E" w:rsidRPr="00497A4E">
        <w:rPr>
          <w:sz w:val="22"/>
          <w:szCs w:val="20"/>
          <w:lang w:eastAsia="es-ES"/>
        </w:rPr>
        <w:t xml:space="preserve">gosto. McKhann </w:t>
      </w:r>
      <w:r w:rsidR="00E11859">
        <w:rPr>
          <w:sz w:val="22"/>
          <w:szCs w:val="20"/>
          <w:lang w:eastAsia="es-ES"/>
        </w:rPr>
        <w:t>y cols.</w:t>
      </w:r>
      <w:r w:rsidR="00E11859">
        <w:rPr>
          <w:sz w:val="22"/>
          <w:szCs w:val="20"/>
          <w:vertAlign w:val="superscript"/>
          <w:lang w:eastAsia="es-ES"/>
        </w:rPr>
        <w:t>9</w:t>
      </w:r>
      <w:r w:rsidR="00E11859">
        <w:rPr>
          <w:sz w:val="22"/>
          <w:szCs w:val="20"/>
          <w:lang w:eastAsia="es-ES"/>
        </w:rPr>
        <w:t xml:space="preserve"> </w:t>
      </w:r>
      <w:r w:rsidR="00497A4E" w:rsidRPr="00497A4E">
        <w:rPr>
          <w:sz w:val="22"/>
          <w:szCs w:val="20"/>
          <w:lang w:eastAsia="es-ES"/>
        </w:rPr>
        <w:t xml:space="preserve">en el año 1993, en un estudio realizado en China, reportó un incremento en la incidencia de la forma </w:t>
      </w:r>
      <w:r w:rsidR="006206A9">
        <w:rPr>
          <w:sz w:val="22"/>
          <w:szCs w:val="20"/>
          <w:lang w:eastAsia="es-ES"/>
        </w:rPr>
        <w:t>AMAN</w:t>
      </w:r>
      <w:r w:rsidR="00497A4E" w:rsidRPr="00497A4E">
        <w:rPr>
          <w:sz w:val="22"/>
          <w:szCs w:val="20"/>
          <w:lang w:eastAsia="es-ES"/>
        </w:rPr>
        <w:t xml:space="preserve"> en los meses de verano. Esta variedad del SGB, está estrechamente asociada con la infecciones gastrointestinales por </w:t>
      </w:r>
      <w:r w:rsidR="00497A4E" w:rsidRPr="007A4096">
        <w:rPr>
          <w:i/>
          <w:sz w:val="22"/>
          <w:szCs w:val="20"/>
          <w:lang w:eastAsia="es-ES"/>
        </w:rPr>
        <w:t>C</w:t>
      </w:r>
      <w:r w:rsidR="007A4096" w:rsidRPr="007A4096">
        <w:rPr>
          <w:i/>
          <w:sz w:val="22"/>
          <w:szCs w:val="20"/>
          <w:lang w:eastAsia="es-ES"/>
        </w:rPr>
        <w:t>.</w:t>
      </w:r>
      <w:r w:rsidR="00497A4E" w:rsidRPr="007A4096">
        <w:rPr>
          <w:i/>
          <w:sz w:val="22"/>
          <w:szCs w:val="20"/>
          <w:lang w:eastAsia="es-ES"/>
        </w:rPr>
        <w:t xml:space="preserve"> jejuni</w:t>
      </w:r>
      <w:r w:rsidR="00546002">
        <w:rPr>
          <w:sz w:val="22"/>
          <w:szCs w:val="20"/>
          <w:lang w:eastAsia="es-ES"/>
        </w:rPr>
        <w:t>, la</w:t>
      </w:r>
      <w:r w:rsidR="00497A4E" w:rsidRPr="00497A4E">
        <w:rPr>
          <w:sz w:val="22"/>
          <w:szCs w:val="20"/>
          <w:lang w:eastAsia="es-ES"/>
        </w:rPr>
        <w:t xml:space="preserve"> cual tiene una incidencia más alta en los meses calurosos.</w:t>
      </w:r>
      <w:r w:rsidR="0048153E">
        <w:rPr>
          <w:sz w:val="22"/>
          <w:szCs w:val="20"/>
          <w:vertAlign w:val="superscript"/>
          <w:lang w:eastAsia="es-ES"/>
        </w:rPr>
        <w:t>4-6,11</w:t>
      </w:r>
      <w:r w:rsidR="00497A4E" w:rsidRPr="00497A4E">
        <w:rPr>
          <w:sz w:val="22"/>
          <w:szCs w:val="20"/>
          <w:lang w:eastAsia="es-ES"/>
        </w:rPr>
        <w:t xml:space="preserve"> </w:t>
      </w:r>
      <w:r w:rsidR="00014434">
        <w:rPr>
          <w:sz w:val="22"/>
          <w:szCs w:val="20"/>
          <w:lang w:eastAsia="es-ES"/>
        </w:rPr>
        <w:t xml:space="preserve">Esto contrasta </w:t>
      </w:r>
      <w:r w:rsidR="00501CEB">
        <w:rPr>
          <w:sz w:val="22"/>
          <w:szCs w:val="20"/>
          <w:lang w:eastAsia="es-ES"/>
        </w:rPr>
        <w:t xml:space="preserve">notablemente </w:t>
      </w:r>
      <w:r w:rsidR="00014434">
        <w:rPr>
          <w:sz w:val="22"/>
          <w:szCs w:val="20"/>
          <w:lang w:eastAsia="es-ES"/>
        </w:rPr>
        <w:t xml:space="preserve">con los resultados observados en el presente estudio. </w:t>
      </w:r>
      <w:r w:rsidR="002F2C7A">
        <w:rPr>
          <w:sz w:val="22"/>
          <w:szCs w:val="20"/>
          <w:lang w:eastAsia="es-ES"/>
        </w:rPr>
        <w:t>En la mayoría de los</w:t>
      </w:r>
      <w:r w:rsidR="00497A4E" w:rsidRPr="00497A4E">
        <w:rPr>
          <w:sz w:val="22"/>
          <w:szCs w:val="20"/>
          <w:lang w:eastAsia="es-ES"/>
        </w:rPr>
        <w:t xml:space="preserve"> estudios previos en pacientes mexicanos no </w:t>
      </w:r>
      <w:r w:rsidR="0051201E">
        <w:rPr>
          <w:sz w:val="22"/>
          <w:szCs w:val="20"/>
          <w:lang w:eastAsia="es-ES"/>
        </w:rPr>
        <w:t xml:space="preserve">se </w:t>
      </w:r>
      <w:r w:rsidR="00497A4E" w:rsidRPr="00497A4E">
        <w:rPr>
          <w:sz w:val="22"/>
          <w:szCs w:val="20"/>
          <w:lang w:eastAsia="es-ES"/>
        </w:rPr>
        <w:t>report</w:t>
      </w:r>
      <w:r w:rsidR="0051201E">
        <w:rPr>
          <w:sz w:val="22"/>
          <w:szCs w:val="20"/>
          <w:lang w:eastAsia="es-ES"/>
        </w:rPr>
        <w:t>ó</w:t>
      </w:r>
      <w:r w:rsidR="00497A4E" w:rsidRPr="00497A4E">
        <w:rPr>
          <w:sz w:val="22"/>
          <w:szCs w:val="20"/>
          <w:lang w:eastAsia="es-ES"/>
        </w:rPr>
        <w:t xml:space="preserve"> un predominio estacional del síndrome.</w:t>
      </w:r>
      <w:r w:rsidR="00D025BD">
        <w:rPr>
          <w:sz w:val="22"/>
          <w:szCs w:val="20"/>
          <w:vertAlign w:val="superscript"/>
          <w:lang w:eastAsia="es-ES"/>
        </w:rPr>
        <w:t>19-30</w:t>
      </w:r>
      <w:r w:rsidR="00497A4E" w:rsidRPr="00497A4E">
        <w:rPr>
          <w:sz w:val="22"/>
          <w:szCs w:val="20"/>
          <w:lang w:eastAsia="es-ES"/>
        </w:rPr>
        <w:t xml:space="preserve"> En la casuística obtenida en este trabajo se encontró un predominio</w:t>
      </w:r>
      <w:r w:rsidR="00260219">
        <w:rPr>
          <w:sz w:val="22"/>
          <w:szCs w:val="20"/>
          <w:lang w:eastAsia="es-ES"/>
        </w:rPr>
        <w:t xml:space="preserve"> estacional en primavera (36%), seguido del </w:t>
      </w:r>
      <w:r w:rsidR="00260219">
        <w:rPr>
          <w:sz w:val="22"/>
          <w:szCs w:val="20"/>
          <w:lang w:eastAsia="es-ES"/>
        </w:rPr>
        <w:lastRenderedPageBreak/>
        <w:t>otoño (</w:t>
      </w:r>
      <w:r w:rsidR="00497A4E" w:rsidRPr="00497A4E">
        <w:rPr>
          <w:sz w:val="22"/>
          <w:szCs w:val="20"/>
          <w:lang w:eastAsia="es-ES"/>
        </w:rPr>
        <w:t>32%</w:t>
      </w:r>
      <w:r w:rsidR="00260219">
        <w:rPr>
          <w:sz w:val="22"/>
          <w:szCs w:val="20"/>
          <w:lang w:eastAsia="es-ES"/>
        </w:rPr>
        <w:t>), invierno (</w:t>
      </w:r>
      <w:r w:rsidR="00497A4E" w:rsidRPr="00497A4E">
        <w:rPr>
          <w:sz w:val="22"/>
          <w:szCs w:val="20"/>
          <w:lang w:eastAsia="es-ES"/>
        </w:rPr>
        <w:t>20%</w:t>
      </w:r>
      <w:r w:rsidR="00260219">
        <w:rPr>
          <w:sz w:val="22"/>
          <w:szCs w:val="20"/>
          <w:lang w:eastAsia="es-ES"/>
        </w:rPr>
        <w:t>) y verano (</w:t>
      </w:r>
      <w:r w:rsidR="00497A4E" w:rsidRPr="00497A4E">
        <w:rPr>
          <w:sz w:val="22"/>
          <w:szCs w:val="20"/>
          <w:lang w:eastAsia="es-ES"/>
        </w:rPr>
        <w:t>12%</w:t>
      </w:r>
      <w:r w:rsidR="00260219">
        <w:rPr>
          <w:sz w:val="22"/>
          <w:szCs w:val="20"/>
          <w:lang w:eastAsia="es-ES"/>
        </w:rPr>
        <w:t>)</w:t>
      </w:r>
      <w:r w:rsidR="00C33A14">
        <w:rPr>
          <w:sz w:val="22"/>
          <w:szCs w:val="20"/>
          <w:lang w:eastAsia="es-ES"/>
        </w:rPr>
        <w:t xml:space="preserve">. </w:t>
      </w:r>
      <w:r w:rsidR="00497A4E" w:rsidRPr="00497A4E">
        <w:rPr>
          <w:sz w:val="22"/>
          <w:szCs w:val="20"/>
          <w:lang w:eastAsia="es-ES"/>
        </w:rPr>
        <w:t>Demostrándose así que el 68% de los casos de SGB en nuestro hospital ocurren en la</w:t>
      </w:r>
      <w:r w:rsidR="00C33A14">
        <w:rPr>
          <w:sz w:val="22"/>
          <w:szCs w:val="20"/>
          <w:lang w:eastAsia="es-ES"/>
        </w:rPr>
        <w:t xml:space="preserve"> estaciones de primavera a </w:t>
      </w:r>
      <w:r w:rsidR="00497A4E" w:rsidRPr="00497A4E">
        <w:rPr>
          <w:sz w:val="22"/>
          <w:szCs w:val="20"/>
          <w:lang w:eastAsia="es-ES"/>
        </w:rPr>
        <w:t>otoñ</w:t>
      </w:r>
      <w:r w:rsidR="00C33A14">
        <w:rPr>
          <w:sz w:val="22"/>
          <w:szCs w:val="20"/>
          <w:lang w:eastAsia="es-ES"/>
        </w:rPr>
        <w:t xml:space="preserve">o. </w:t>
      </w:r>
    </w:p>
    <w:p w14:paraId="24CB103F" w14:textId="77777777" w:rsidR="00497A4E" w:rsidRPr="00497A4E" w:rsidRDefault="00497A4E" w:rsidP="0049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szCs w:val="20"/>
          <w:lang w:eastAsia="es-ES"/>
        </w:rPr>
      </w:pPr>
    </w:p>
    <w:p w14:paraId="1D3B06B9" w14:textId="77777777" w:rsidR="001340DD" w:rsidRDefault="00497A4E" w:rsidP="0049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szCs w:val="20"/>
          <w:lang w:eastAsia="es-ES"/>
        </w:rPr>
      </w:pPr>
      <w:r w:rsidRPr="00497A4E">
        <w:rPr>
          <w:sz w:val="22"/>
          <w:szCs w:val="20"/>
          <w:lang w:eastAsia="es-ES"/>
        </w:rPr>
        <w:tab/>
        <w:t xml:space="preserve">Alrededor del 60-75% de los pacientes tienen historia de infección, usualmente es del tracto respiratorio o gastrointestinal. El microorganismo más frecuentemente identificado como causa de infección es </w:t>
      </w:r>
      <w:r w:rsidRPr="00415122">
        <w:rPr>
          <w:i/>
          <w:sz w:val="22"/>
          <w:szCs w:val="20"/>
          <w:lang w:eastAsia="es-ES"/>
        </w:rPr>
        <w:t>C. jejuni</w:t>
      </w:r>
      <w:r w:rsidR="00415122">
        <w:rPr>
          <w:sz w:val="22"/>
          <w:szCs w:val="20"/>
          <w:lang w:eastAsia="es-ES"/>
        </w:rPr>
        <w:t>,</w:t>
      </w:r>
      <w:r w:rsidR="00F74284" w:rsidRPr="00F74284">
        <w:rPr>
          <w:sz w:val="22"/>
          <w:szCs w:val="20"/>
          <w:vertAlign w:val="superscript"/>
          <w:lang w:eastAsia="es-ES"/>
        </w:rPr>
        <w:t xml:space="preserve"> </w:t>
      </w:r>
      <w:r w:rsidR="00F74284">
        <w:rPr>
          <w:sz w:val="22"/>
          <w:szCs w:val="20"/>
          <w:vertAlign w:val="superscript"/>
          <w:lang w:eastAsia="es-ES"/>
        </w:rPr>
        <w:t>4-6,11</w:t>
      </w:r>
      <w:r w:rsidR="00415122">
        <w:rPr>
          <w:sz w:val="22"/>
          <w:szCs w:val="20"/>
          <w:lang w:eastAsia="es-ES"/>
        </w:rPr>
        <w:t xml:space="preserve"> pero o</w:t>
      </w:r>
      <w:r w:rsidRPr="00497A4E">
        <w:rPr>
          <w:sz w:val="22"/>
          <w:szCs w:val="20"/>
          <w:lang w:eastAsia="es-ES"/>
        </w:rPr>
        <w:t xml:space="preserve">tros </w:t>
      </w:r>
      <w:r w:rsidR="00B82D88">
        <w:rPr>
          <w:sz w:val="22"/>
          <w:szCs w:val="20"/>
          <w:lang w:eastAsia="es-ES"/>
        </w:rPr>
        <w:t>agentes</w:t>
      </w:r>
      <w:r w:rsidRPr="00497A4E">
        <w:rPr>
          <w:sz w:val="22"/>
          <w:szCs w:val="20"/>
          <w:lang w:eastAsia="es-ES"/>
        </w:rPr>
        <w:t xml:space="preserve"> </w:t>
      </w:r>
      <w:r w:rsidR="004B4C81">
        <w:rPr>
          <w:sz w:val="22"/>
          <w:szCs w:val="20"/>
          <w:lang w:eastAsia="es-ES"/>
        </w:rPr>
        <w:t>como el c</w:t>
      </w:r>
      <w:r w:rsidRPr="00497A4E">
        <w:rPr>
          <w:sz w:val="22"/>
          <w:szCs w:val="20"/>
          <w:lang w:eastAsia="es-ES"/>
        </w:rPr>
        <w:t>itomegalovirus, virus de Epstein-Barr</w:t>
      </w:r>
      <w:r w:rsidR="001C77EF">
        <w:rPr>
          <w:sz w:val="22"/>
          <w:szCs w:val="20"/>
          <w:lang w:eastAsia="es-ES"/>
        </w:rPr>
        <w:t>, virus del dengue</w:t>
      </w:r>
      <w:r w:rsidRPr="00497A4E">
        <w:rPr>
          <w:sz w:val="22"/>
          <w:szCs w:val="20"/>
          <w:lang w:eastAsia="es-ES"/>
        </w:rPr>
        <w:t xml:space="preserve">, </w:t>
      </w:r>
      <w:r w:rsidRPr="004B4C81">
        <w:rPr>
          <w:i/>
          <w:sz w:val="22"/>
          <w:szCs w:val="20"/>
          <w:lang w:eastAsia="es-ES"/>
        </w:rPr>
        <w:t>Mycoplasma pneumoniae</w:t>
      </w:r>
      <w:r w:rsidRPr="00497A4E">
        <w:rPr>
          <w:sz w:val="22"/>
          <w:szCs w:val="20"/>
          <w:lang w:eastAsia="es-ES"/>
        </w:rPr>
        <w:t xml:space="preserve"> y </w:t>
      </w:r>
      <w:r w:rsidRPr="004B4C81">
        <w:rPr>
          <w:i/>
          <w:sz w:val="22"/>
          <w:szCs w:val="20"/>
          <w:lang w:eastAsia="es-ES"/>
        </w:rPr>
        <w:t>Haemophilus influenzae</w:t>
      </w:r>
      <w:r w:rsidR="004B4C81">
        <w:rPr>
          <w:sz w:val="22"/>
          <w:szCs w:val="20"/>
          <w:lang w:eastAsia="es-ES"/>
        </w:rPr>
        <w:t xml:space="preserve"> también han sido implicados.</w:t>
      </w:r>
      <w:r w:rsidR="0028223D">
        <w:rPr>
          <w:sz w:val="22"/>
          <w:szCs w:val="20"/>
          <w:vertAlign w:val="superscript"/>
          <w:lang w:eastAsia="es-ES"/>
        </w:rPr>
        <w:t>35-38</w:t>
      </w:r>
      <w:r w:rsidR="00BE5573">
        <w:rPr>
          <w:sz w:val="22"/>
          <w:szCs w:val="20"/>
          <w:lang w:eastAsia="es-ES"/>
        </w:rPr>
        <w:t xml:space="preserve"> Así, e</w:t>
      </w:r>
      <w:r w:rsidRPr="00497A4E">
        <w:rPr>
          <w:sz w:val="22"/>
          <w:szCs w:val="20"/>
          <w:lang w:eastAsia="es-ES"/>
        </w:rPr>
        <w:t>l SGB es el prototipo de enfermedad postinfecciosa, ya que cerca de dos terceras partes de los pacientes t</w:t>
      </w:r>
      <w:r w:rsidR="00860201">
        <w:rPr>
          <w:sz w:val="22"/>
          <w:szCs w:val="20"/>
          <w:lang w:eastAsia="es-ES"/>
        </w:rPr>
        <w:t>ienen antecedente de infección, sin embargo en la práctica clínica</w:t>
      </w:r>
      <w:r w:rsidRPr="00497A4E">
        <w:rPr>
          <w:sz w:val="22"/>
          <w:szCs w:val="20"/>
          <w:lang w:eastAsia="es-ES"/>
        </w:rPr>
        <w:t xml:space="preserve"> casi nunca es identificado el patógeno desencadenante.</w:t>
      </w:r>
      <w:r w:rsidR="003C7D2C">
        <w:rPr>
          <w:sz w:val="22"/>
          <w:szCs w:val="20"/>
          <w:lang w:eastAsia="es-ES"/>
        </w:rPr>
        <w:t xml:space="preserve"> </w:t>
      </w:r>
      <w:r w:rsidRPr="00497A4E">
        <w:rPr>
          <w:sz w:val="22"/>
          <w:szCs w:val="20"/>
          <w:lang w:eastAsia="es-ES"/>
        </w:rPr>
        <w:t>El periodo entre la primoinfección y el inicio de síntomas ha sido reportado entre 1 a 2 semanas</w:t>
      </w:r>
      <w:r w:rsidR="003C7D2C">
        <w:rPr>
          <w:sz w:val="22"/>
          <w:szCs w:val="20"/>
          <w:lang w:eastAsia="es-ES"/>
        </w:rPr>
        <w:t>.</w:t>
      </w:r>
      <w:r w:rsidR="008205AB">
        <w:rPr>
          <w:sz w:val="22"/>
          <w:szCs w:val="20"/>
          <w:vertAlign w:val="superscript"/>
          <w:lang w:eastAsia="es-ES"/>
        </w:rPr>
        <w:t>15</w:t>
      </w:r>
      <w:r w:rsidR="003C7D2C">
        <w:rPr>
          <w:sz w:val="22"/>
          <w:szCs w:val="20"/>
          <w:lang w:eastAsia="es-ES"/>
        </w:rPr>
        <w:t xml:space="preserve"> </w:t>
      </w:r>
      <w:r w:rsidRPr="00497A4E">
        <w:rPr>
          <w:sz w:val="22"/>
          <w:szCs w:val="20"/>
          <w:lang w:eastAsia="es-ES"/>
        </w:rPr>
        <w:t xml:space="preserve">En </w:t>
      </w:r>
      <w:r w:rsidR="00EC0A7D">
        <w:rPr>
          <w:sz w:val="22"/>
          <w:szCs w:val="20"/>
          <w:lang w:eastAsia="es-ES"/>
        </w:rPr>
        <w:t>un</w:t>
      </w:r>
      <w:r w:rsidRPr="00497A4E">
        <w:rPr>
          <w:sz w:val="22"/>
          <w:szCs w:val="20"/>
          <w:lang w:eastAsia="es-ES"/>
        </w:rPr>
        <w:t xml:space="preserve"> estudio mexicano con 28 pacientes con SGB se identificó en las dos semanas previas al inicio del cuadro el antecedente infec</w:t>
      </w:r>
      <w:r w:rsidR="005E0D48">
        <w:rPr>
          <w:sz w:val="22"/>
          <w:szCs w:val="20"/>
          <w:lang w:eastAsia="es-ES"/>
        </w:rPr>
        <w:t>cioso en el 50% de los casos:</w:t>
      </w:r>
      <w:r w:rsidRPr="00497A4E">
        <w:rPr>
          <w:sz w:val="22"/>
          <w:szCs w:val="20"/>
          <w:lang w:eastAsia="es-ES"/>
        </w:rPr>
        <w:t xml:space="preserve"> 32% por infección de vías respiratorias y 18% por infección gastrointestinal.</w:t>
      </w:r>
      <w:r w:rsidR="00EC0A7D">
        <w:rPr>
          <w:sz w:val="22"/>
          <w:szCs w:val="20"/>
          <w:vertAlign w:val="superscript"/>
          <w:lang w:eastAsia="es-ES"/>
        </w:rPr>
        <w:t>23</w:t>
      </w:r>
      <w:r w:rsidRPr="00497A4E">
        <w:rPr>
          <w:sz w:val="22"/>
          <w:szCs w:val="20"/>
          <w:lang w:eastAsia="es-ES"/>
        </w:rPr>
        <w:t xml:space="preserve"> El 56% de nuestros pacientes mostraron una enfermedad infecciosa aguda en el mes previo, en la que estaban representadas tanto la infección respir</w:t>
      </w:r>
      <w:r w:rsidR="0071649F">
        <w:rPr>
          <w:sz w:val="22"/>
          <w:szCs w:val="20"/>
          <w:lang w:eastAsia="es-ES"/>
        </w:rPr>
        <w:t>atoria (50%)</w:t>
      </w:r>
      <w:r w:rsidRPr="00497A4E">
        <w:rPr>
          <w:sz w:val="22"/>
          <w:szCs w:val="20"/>
          <w:lang w:eastAsia="es-ES"/>
        </w:rPr>
        <w:t xml:space="preserve"> como</w:t>
      </w:r>
      <w:r w:rsidR="00AF614F">
        <w:rPr>
          <w:sz w:val="22"/>
          <w:szCs w:val="20"/>
          <w:lang w:eastAsia="es-ES"/>
        </w:rPr>
        <w:t xml:space="preserve"> la gastrointestinal (50%). De é</w:t>
      </w:r>
      <w:r w:rsidRPr="00497A4E">
        <w:rPr>
          <w:sz w:val="22"/>
          <w:szCs w:val="20"/>
          <w:lang w:eastAsia="es-ES"/>
        </w:rPr>
        <w:t>stos</w:t>
      </w:r>
      <w:r w:rsidR="00AF614F">
        <w:rPr>
          <w:sz w:val="22"/>
          <w:szCs w:val="20"/>
          <w:lang w:eastAsia="es-ES"/>
        </w:rPr>
        <w:t>,</w:t>
      </w:r>
      <w:r w:rsidRPr="00497A4E">
        <w:rPr>
          <w:sz w:val="22"/>
          <w:szCs w:val="20"/>
          <w:lang w:eastAsia="es-ES"/>
        </w:rPr>
        <w:t xml:space="preserve"> el 64.</w:t>
      </w:r>
      <w:r w:rsidR="008F1BA5">
        <w:rPr>
          <w:sz w:val="22"/>
          <w:szCs w:val="20"/>
          <w:lang w:eastAsia="es-ES"/>
        </w:rPr>
        <w:t>3% tuvieron la infección en la prim</w:t>
      </w:r>
      <w:r w:rsidRPr="00497A4E">
        <w:rPr>
          <w:sz w:val="22"/>
          <w:szCs w:val="20"/>
          <w:lang w:eastAsia="es-ES"/>
        </w:rPr>
        <w:t xml:space="preserve">era semana previa al cuadro, </w:t>
      </w:r>
      <w:r w:rsidR="00C77B31">
        <w:rPr>
          <w:sz w:val="22"/>
          <w:szCs w:val="20"/>
          <w:lang w:eastAsia="es-ES"/>
        </w:rPr>
        <w:t xml:space="preserve">y un </w:t>
      </w:r>
      <w:r w:rsidRPr="00497A4E">
        <w:rPr>
          <w:sz w:val="22"/>
          <w:szCs w:val="20"/>
          <w:lang w:eastAsia="es-ES"/>
        </w:rPr>
        <w:t xml:space="preserve">91.7% de los pacientes tiene la primoinfección dentro de las dos semanas previas al inicio de las manifestaciones clínicas. El resto de los pacientes no tuvo antecedente de infección previa, ni otro factor que se haya identificado. </w:t>
      </w:r>
      <w:r w:rsidR="00C77B31">
        <w:rPr>
          <w:sz w:val="22"/>
          <w:szCs w:val="20"/>
          <w:lang w:eastAsia="es-ES"/>
        </w:rPr>
        <w:t>Algun</w:t>
      </w:r>
      <w:r w:rsidRPr="00497A4E">
        <w:rPr>
          <w:sz w:val="22"/>
          <w:szCs w:val="20"/>
          <w:lang w:eastAsia="es-ES"/>
        </w:rPr>
        <w:t xml:space="preserve">os </w:t>
      </w:r>
      <w:r w:rsidR="00EE42C7">
        <w:rPr>
          <w:sz w:val="22"/>
          <w:szCs w:val="20"/>
          <w:lang w:eastAsia="es-ES"/>
        </w:rPr>
        <w:t>estudio</w:t>
      </w:r>
      <w:r w:rsidRPr="00497A4E">
        <w:rPr>
          <w:sz w:val="22"/>
          <w:szCs w:val="20"/>
          <w:lang w:eastAsia="es-ES"/>
        </w:rPr>
        <w:t xml:space="preserve">s han </w:t>
      </w:r>
      <w:r w:rsidR="003B489F">
        <w:rPr>
          <w:sz w:val="22"/>
          <w:szCs w:val="20"/>
          <w:lang w:eastAsia="es-ES"/>
        </w:rPr>
        <w:t>repor</w:t>
      </w:r>
      <w:r w:rsidRPr="00497A4E">
        <w:rPr>
          <w:sz w:val="22"/>
          <w:szCs w:val="20"/>
          <w:lang w:eastAsia="es-ES"/>
        </w:rPr>
        <w:t>tado la ocurrencia entre SGB y vacunaciones, cirugía, y eventos estresantes</w:t>
      </w:r>
      <w:r w:rsidR="00C77B31">
        <w:rPr>
          <w:sz w:val="22"/>
          <w:szCs w:val="20"/>
          <w:lang w:eastAsia="es-ES"/>
        </w:rPr>
        <w:t>.</w:t>
      </w:r>
      <w:r w:rsidR="00B21E22">
        <w:rPr>
          <w:sz w:val="22"/>
          <w:szCs w:val="20"/>
          <w:vertAlign w:val="superscript"/>
          <w:lang w:eastAsia="es-ES"/>
        </w:rPr>
        <w:t>39-42</w:t>
      </w:r>
      <w:r w:rsidR="00C77B31">
        <w:rPr>
          <w:sz w:val="22"/>
          <w:szCs w:val="20"/>
          <w:lang w:eastAsia="es-ES"/>
        </w:rPr>
        <w:t xml:space="preserve"> En contraste, e</w:t>
      </w:r>
      <w:r w:rsidRPr="00497A4E">
        <w:rPr>
          <w:sz w:val="22"/>
          <w:szCs w:val="20"/>
          <w:lang w:eastAsia="es-ES"/>
        </w:rPr>
        <w:t xml:space="preserve"> ninguno de nuestros pacientes </w:t>
      </w:r>
      <w:r w:rsidR="00101332">
        <w:rPr>
          <w:sz w:val="22"/>
          <w:szCs w:val="20"/>
          <w:lang w:eastAsia="es-ES"/>
        </w:rPr>
        <w:t xml:space="preserve">se documentó el </w:t>
      </w:r>
      <w:r w:rsidRPr="00497A4E">
        <w:rPr>
          <w:sz w:val="22"/>
          <w:szCs w:val="20"/>
          <w:lang w:eastAsia="es-ES"/>
        </w:rPr>
        <w:t xml:space="preserve">antecedente de vacunación, trauma, cirugía o embarazo. </w:t>
      </w:r>
    </w:p>
    <w:p w14:paraId="7C7DA5C5" w14:textId="77777777" w:rsidR="00497A4E" w:rsidRPr="00497A4E" w:rsidRDefault="001340DD" w:rsidP="00650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szCs w:val="20"/>
          <w:lang w:eastAsia="es-ES"/>
        </w:rPr>
      </w:pPr>
      <w:r>
        <w:rPr>
          <w:sz w:val="22"/>
          <w:szCs w:val="20"/>
          <w:lang w:eastAsia="es-ES"/>
        </w:rPr>
        <w:tab/>
      </w:r>
      <w:r w:rsidR="00CE4221">
        <w:rPr>
          <w:sz w:val="22"/>
          <w:szCs w:val="20"/>
          <w:lang w:eastAsia="es-ES"/>
        </w:rPr>
        <w:t>En nuestro estudio las características</w:t>
      </w:r>
      <w:r w:rsidR="00497A4E" w:rsidRPr="00497A4E">
        <w:rPr>
          <w:sz w:val="22"/>
          <w:szCs w:val="20"/>
          <w:lang w:eastAsia="es-ES"/>
        </w:rPr>
        <w:t xml:space="preserve"> clínicas resulta</w:t>
      </w:r>
      <w:r w:rsidR="00CE4221">
        <w:rPr>
          <w:sz w:val="22"/>
          <w:szCs w:val="20"/>
          <w:lang w:eastAsia="es-ES"/>
        </w:rPr>
        <w:t>ro</w:t>
      </w:r>
      <w:r w:rsidR="00497A4E" w:rsidRPr="00497A4E">
        <w:rPr>
          <w:sz w:val="22"/>
          <w:szCs w:val="20"/>
          <w:lang w:eastAsia="es-ES"/>
        </w:rPr>
        <w:t>n similares a las</w:t>
      </w:r>
      <w:r w:rsidR="003C686E">
        <w:rPr>
          <w:sz w:val="22"/>
          <w:szCs w:val="20"/>
          <w:lang w:eastAsia="es-ES"/>
        </w:rPr>
        <w:t xml:space="preserve"> descripciones referidas en la </w:t>
      </w:r>
      <w:r w:rsidR="00497A4E" w:rsidRPr="00497A4E">
        <w:rPr>
          <w:sz w:val="22"/>
          <w:szCs w:val="20"/>
          <w:lang w:eastAsia="es-ES"/>
        </w:rPr>
        <w:t xml:space="preserve">bibliografía </w:t>
      </w:r>
      <w:r w:rsidR="003C686E">
        <w:rPr>
          <w:sz w:val="22"/>
          <w:szCs w:val="20"/>
          <w:lang w:eastAsia="es-ES"/>
        </w:rPr>
        <w:t>internacional</w:t>
      </w:r>
      <w:r w:rsidR="00497A4E" w:rsidRPr="00497A4E">
        <w:rPr>
          <w:sz w:val="22"/>
          <w:szCs w:val="20"/>
          <w:lang w:eastAsia="es-ES"/>
        </w:rPr>
        <w:t>.</w:t>
      </w:r>
      <w:r w:rsidR="00AF5720">
        <w:rPr>
          <w:sz w:val="22"/>
          <w:szCs w:val="20"/>
          <w:vertAlign w:val="superscript"/>
          <w:lang w:eastAsia="es-ES"/>
        </w:rPr>
        <w:t>1-18</w:t>
      </w:r>
      <w:r w:rsidR="00B56131">
        <w:rPr>
          <w:sz w:val="22"/>
          <w:szCs w:val="20"/>
          <w:lang w:eastAsia="es-ES"/>
        </w:rPr>
        <w:t xml:space="preserve"> </w:t>
      </w:r>
      <w:r w:rsidR="00497A4E" w:rsidRPr="00497A4E">
        <w:rPr>
          <w:sz w:val="22"/>
          <w:szCs w:val="20"/>
          <w:lang w:eastAsia="es-ES"/>
        </w:rPr>
        <w:t xml:space="preserve">Desde el punto de vista clínico, el déficit motor suele ser simétrico, usualmente comienza por las extremidades inferiores y se extiende con posterioridad hacia los brazos y las estructuras inervadas </w:t>
      </w:r>
      <w:r w:rsidR="00497A4E" w:rsidRPr="00497A4E">
        <w:rPr>
          <w:sz w:val="22"/>
          <w:szCs w:val="20"/>
          <w:lang w:eastAsia="es-ES"/>
        </w:rPr>
        <w:lastRenderedPageBreak/>
        <w:t>por los nervios craneales en un plazo de una a tres semanas</w:t>
      </w:r>
      <w:r w:rsidR="00B56131">
        <w:rPr>
          <w:sz w:val="22"/>
          <w:szCs w:val="20"/>
          <w:lang w:eastAsia="es-ES"/>
        </w:rPr>
        <w:t xml:space="preserve">. </w:t>
      </w:r>
      <w:r w:rsidR="00497A4E" w:rsidRPr="00497A4E">
        <w:rPr>
          <w:sz w:val="22"/>
          <w:szCs w:val="20"/>
          <w:lang w:eastAsia="es-ES"/>
        </w:rPr>
        <w:t>L</w:t>
      </w:r>
      <w:r w:rsidR="00B56131">
        <w:rPr>
          <w:sz w:val="22"/>
          <w:szCs w:val="20"/>
          <w:lang w:eastAsia="es-ES"/>
        </w:rPr>
        <w:t xml:space="preserve">a </w:t>
      </w:r>
      <w:r w:rsidR="00497A4E" w:rsidRPr="00497A4E">
        <w:rPr>
          <w:sz w:val="22"/>
          <w:szCs w:val="20"/>
          <w:lang w:eastAsia="es-ES"/>
        </w:rPr>
        <w:t>debilidad clínica definitiva es</w:t>
      </w:r>
      <w:r w:rsidR="00B56131">
        <w:rPr>
          <w:sz w:val="22"/>
          <w:szCs w:val="20"/>
          <w:lang w:eastAsia="es-ES"/>
        </w:rPr>
        <w:t>tá en relación con</w:t>
      </w:r>
      <w:r w:rsidR="00DF5D7E">
        <w:rPr>
          <w:sz w:val="22"/>
          <w:szCs w:val="20"/>
          <w:lang w:eastAsia="es-ES"/>
        </w:rPr>
        <w:t xml:space="preserve"> el grado de lesión axonal y menos con </w:t>
      </w:r>
      <w:r w:rsidR="00497A4E" w:rsidRPr="00497A4E">
        <w:rPr>
          <w:sz w:val="22"/>
          <w:szCs w:val="20"/>
          <w:lang w:eastAsia="es-ES"/>
        </w:rPr>
        <w:t>la intensidad de la desmielinización.</w:t>
      </w:r>
      <w:r w:rsidR="00023CD7">
        <w:rPr>
          <w:sz w:val="22"/>
          <w:szCs w:val="20"/>
          <w:vertAlign w:val="superscript"/>
          <w:lang w:eastAsia="es-ES"/>
        </w:rPr>
        <w:t>13,14</w:t>
      </w:r>
      <w:r w:rsidR="00497A4E" w:rsidRPr="00497A4E">
        <w:rPr>
          <w:sz w:val="22"/>
          <w:szCs w:val="20"/>
          <w:lang w:eastAsia="es-ES"/>
        </w:rPr>
        <w:t xml:space="preserve"> Por ello, las formas con degeneración axonal tienen peor pronóstico que l</w:t>
      </w:r>
      <w:r w:rsidR="00F36DFB">
        <w:rPr>
          <w:sz w:val="22"/>
          <w:szCs w:val="20"/>
          <w:lang w:eastAsia="es-ES"/>
        </w:rPr>
        <w:t>a forma clásica desmielinizante,</w:t>
      </w:r>
      <w:r w:rsidR="00497A4E" w:rsidRPr="00497A4E">
        <w:rPr>
          <w:sz w:val="22"/>
          <w:szCs w:val="20"/>
          <w:lang w:eastAsia="es-ES"/>
        </w:rPr>
        <w:t xml:space="preserve"> tardan más en recuperarse de la debilidad y pueden hacerlo de forma incompleta, </w:t>
      </w:r>
      <w:r w:rsidR="007D765E">
        <w:rPr>
          <w:sz w:val="22"/>
          <w:szCs w:val="20"/>
          <w:lang w:eastAsia="es-ES"/>
        </w:rPr>
        <w:t xml:space="preserve">hasta </w:t>
      </w:r>
      <w:r w:rsidR="007D765E" w:rsidRPr="00191A73">
        <w:rPr>
          <w:sz w:val="22"/>
          <w:szCs w:val="20"/>
          <w:lang w:eastAsia="es-ES"/>
        </w:rPr>
        <w:t xml:space="preserve">ahora </w:t>
      </w:r>
      <w:r w:rsidR="00497A4E" w:rsidRPr="00191A73">
        <w:rPr>
          <w:sz w:val="22"/>
          <w:szCs w:val="20"/>
          <w:lang w:eastAsia="es-ES"/>
        </w:rPr>
        <w:t xml:space="preserve">los parámetros de velocidad de conducción en cualquiera de los tramos nerviosos no tienen significado pronóstico. </w:t>
      </w:r>
      <w:r w:rsidR="00AE2932" w:rsidRPr="00191A73">
        <w:rPr>
          <w:sz w:val="22"/>
          <w:szCs w:val="20"/>
          <w:lang w:eastAsia="es-ES"/>
        </w:rPr>
        <w:t>Aquí observamos</w:t>
      </w:r>
      <w:r w:rsidR="006C5A67" w:rsidRPr="00191A73">
        <w:rPr>
          <w:sz w:val="22"/>
          <w:szCs w:val="20"/>
          <w:lang w:eastAsia="es-ES"/>
        </w:rPr>
        <w:t xml:space="preserve"> </w:t>
      </w:r>
      <w:r w:rsidR="005F3FC2" w:rsidRPr="00191A73">
        <w:rPr>
          <w:sz w:val="22"/>
          <w:szCs w:val="20"/>
          <w:lang w:eastAsia="es-ES"/>
        </w:rPr>
        <w:t>características clínicas y de pronóstico</w:t>
      </w:r>
      <w:r w:rsidR="005F3FC2">
        <w:rPr>
          <w:sz w:val="22"/>
          <w:szCs w:val="20"/>
          <w:lang w:eastAsia="es-ES"/>
        </w:rPr>
        <w:t xml:space="preserve"> similares en las variantes axonales.</w:t>
      </w:r>
      <w:r w:rsidR="003A630B">
        <w:rPr>
          <w:sz w:val="22"/>
          <w:szCs w:val="20"/>
          <w:vertAlign w:val="superscript"/>
          <w:lang w:eastAsia="es-ES"/>
        </w:rPr>
        <w:t>15-18</w:t>
      </w:r>
      <w:r w:rsidR="00AE2932">
        <w:rPr>
          <w:sz w:val="22"/>
          <w:szCs w:val="20"/>
          <w:lang w:eastAsia="es-ES"/>
        </w:rPr>
        <w:t xml:space="preserve"> </w:t>
      </w:r>
    </w:p>
    <w:p w14:paraId="7B4D6A1A" w14:textId="77777777" w:rsidR="00695EC8" w:rsidRDefault="00650AA9" w:rsidP="0049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szCs w:val="20"/>
          <w:lang w:eastAsia="es-ES"/>
        </w:rPr>
      </w:pPr>
      <w:r>
        <w:rPr>
          <w:sz w:val="22"/>
          <w:szCs w:val="20"/>
          <w:lang w:eastAsia="es-ES"/>
        </w:rPr>
        <w:tab/>
        <w:t xml:space="preserve">La distribución de las </w:t>
      </w:r>
      <w:r w:rsidR="00497A4E" w:rsidRPr="00497A4E">
        <w:rPr>
          <w:sz w:val="22"/>
          <w:szCs w:val="20"/>
          <w:lang w:eastAsia="es-ES"/>
        </w:rPr>
        <w:t>va</w:t>
      </w:r>
      <w:r>
        <w:rPr>
          <w:sz w:val="22"/>
          <w:szCs w:val="20"/>
          <w:lang w:eastAsia="es-ES"/>
        </w:rPr>
        <w:t>riantes neurofisiológicas varía</w:t>
      </w:r>
      <w:r w:rsidR="00497A4E" w:rsidRPr="00497A4E">
        <w:rPr>
          <w:sz w:val="22"/>
          <w:szCs w:val="20"/>
          <w:lang w:eastAsia="es-ES"/>
        </w:rPr>
        <w:t xml:space="preserve"> con respecto a la </w:t>
      </w:r>
      <w:r>
        <w:rPr>
          <w:sz w:val="22"/>
          <w:szCs w:val="20"/>
          <w:lang w:eastAsia="es-ES"/>
        </w:rPr>
        <w:t>población estudiada</w:t>
      </w:r>
      <w:r w:rsidR="00497A4E" w:rsidRPr="00497A4E">
        <w:rPr>
          <w:sz w:val="22"/>
          <w:szCs w:val="20"/>
          <w:lang w:eastAsia="es-ES"/>
        </w:rPr>
        <w:t xml:space="preserve">, en Europa y Norteamérica el subtipo más común es la variante  </w:t>
      </w:r>
      <w:r w:rsidR="002B023B">
        <w:rPr>
          <w:sz w:val="22"/>
          <w:szCs w:val="20"/>
          <w:lang w:eastAsia="es-ES"/>
        </w:rPr>
        <w:t>AIDP</w:t>
      </w:r>
      <w:r w:rsidR="00497A4E" w:rsidRPr="00497A4E">
        <w:rPr>
          <w:sz w:val="22"/>
          <w:szCs w:val="20"/>
          <w:lang w:eastAsia="es-ES"/>
        </w:rPr>
        <w:t>,</w:t>
      </w:r>
      <w:r w:rsidR="002B023B">
        <w:rPr>
          <w:sz w:val="22"/>
          <w:szCs w:val="20"/>
          <w:lang w:eastAsia="es-ES"/>
        </w:rPr>
        <w:t xml:space="preserve"> con</w:t>
      </w:r>
      <w:r w:rsidR="00497A4E" w:rsidRPr="00497A4E">
        <w:rPr>
          <w:sz w:val="22"/>
          <w:szCs w:val="20"/>
          <w:lang w:eastAsia="es-ES"/>
        </w:rPr>
        <w:t xml:space="preserve"> menos del 5-10%</w:t>
      </w:r>
      <w:r w:rsidR="002B023B">
        <w:rPr>
          <w:sz w:val="22"/>
          <w:szCs w:val="20"/>
          <w:lang w:eastAsia="es-ES"/>
        </w:rPr>
        <w:t xml:space="preserve"> de las variantes </w:t>
      </w:r>
      <w:r w:rsidR="00497A4E" w:rsidRPr="00497A4E">
        <w:rPr>
          <w:sz w:val="22"/>
          <w:szCs w:val="20"/>
          <w:lang w:eastAsia="es-ES"/>
        </w:rPr>
        <w:t>axonales.</w:t>
      </w:r>
      <w:r w:rsidR="00D223C9">
        <w:rPr>
          <w:sz w:val="22"/>
          <w:szCs w:val="20"/>
          <w:vertAlign w:val="superscript"/>
          <w:lang w:eastAsia="es-ES"/>
        </w:rPr>
        <w:t>1-3</w:t>
      </w:r>
      <w:r w:rsidR="00497A4E" w:rsidRPr="00497A4E">
        <w:rPr>
          <w:sz w:val="22"/>
          <w:szCs w:val="20"/>
          <w:lang w:eastAsia="es-ES"/>
        </w:rPr>
        <w:t xml:space="preserve"> </w:t>
      </w:r>
      <w:r w:rsidR="000A7F8D">
        <w:rPr>
          <w:sz w:val="22"/>
          <w:szCs w:val="20"/>
          <w:lang w:eastAsia="es-ES"/>
        </w:rPr>
        <w:t>En contraste,</w:t>
      </w:r>
      <w:r w:rsidR="00497A4E" w:rsidRPr="00497A4E">
        <w:rPr>
          <w:sz w:val="22"/>
          <w:szCs w:val="20"/>
          <w:lang w:eastAsia="es-ES"/>
        </w:rPr>
        <w:t xml:space="preserve"> en China, Japón, Centro y Sudamérica las variedades axonales del síndrome constituyen el 30-47% de los casos</w:t>
      </w:r>
      <w:r w:rsidR="00465794">
        <w:rPr>
          <w:sz w:val="22"/>
          <w:szCs w:val="20"/>
          <w:lang w:eastAsia="es-ES"/>
        </w:rPr>
        <w:t>, especialmente en niños</w:t>
      </w:r>
      <w:r w:rsidR="000A7F8D">
        <w:rPr>
          <w:sz w:val="22"/>
          <w:szCs w:val="20"/>
          <w:lang w:eastAsia="es-ES"/>
        </w:rPr>
        <w:t>,</w:t>
      </w:r>
      <w:r w:rsidR="00D223C9">
        <w:rPr>
          <w:sz w:val="22"/>
          <w:szCs w:val="20"/>
          <w:vertAlign w:val="superscript"/>
          <w:lang w:eastAsia="es-ES"/>
        </w:rPr>
        <w:t>9-30</w:t>
      </w:r>
      <w:r w:rsidR="000A7F8D">
        <w:rPr>
          <w:sz w:val="22"/>
          <w:szCs w:val="20"/>
          <w:lang w:eastAsia="es-ES"/>
        </w:rPr>
        <w:t xml:space="preserve"> con la notable excepción de Argentina</w:t>
      </w:r>
      <w:r w:rsidR="006A3A77">
        <w:rPr>
          <w:sz w:val="22"/>
          <w:szCs w:val="20"/>
          <w:lang w:eastAsia="es-ES"/>
        </w:rPr>
        <w:t>,</w:t>
      </w:r>
      <w:r w:rsidR="00A644F8">
        <w:rPr>
          <w:sz w:val="22"/>
          <w:szCs w:val="20"/>
          <w:vertAlign w:val="superscript"/>
          <w:lang w:eastAsia="es-ES"/>
        </w:rPr>
        <w:t>43,44</w:t>
      </w:r>
      <w:r w:rsidR="006A3A77">
        <w:rPr>
          <w:sz w:val="22"/>
          <w:szCs w:val="20"/>
          <w:lang w:eastAsia="es-ES"/>
        </w:rPr>
        <w:t xml:space="preserve"> </w:t>
      </w:r>
      <w:r w:rsidR="007D2CA1">
        <w:rPr>
          <w:sz w:val="22"/>
          <w:szCs w:val="20"/>
          <w:lang w:eastAsia="es-ES"/>
        </w:rPr>
        <w:t>cuya composición genética quizá difiera sustancialmente de la de otr</w:t>
      </w:r>
      <w:r w:rsidR="00666C33">
        <w:rPr>
          <w:sz w:val="22"/>
          <w:szCs w:val="20"/>
          <w:lang w:eastAsia="es-ES"/>
        </w:rPr>
        <w:t>as poblaciones latinoamericanas</w:t>
      </w:r>
      <w:r w:rsidR="004E33BC">
        <w:rPr>
          <w:sz w:val="22"/>
          <w:szCs w:val="20"/>
          <w:lang w:eastAsia="es-ES"/>
        </w:rPr>
        <w:t>, aunque</w:t>
      </w:r>
      <w:r w:rsidR="00666C33">
        <w:rPr>
          <w:sz w:val="22"/>
          <w:szCs w:val="20"/>
          <w:lang w:eastAsia="es-ES"/>
        </w:rPr>
        <w:t xml:space="preserve"> aún</w:t>
      </w:r>
      <w:r w:rsidR="004E33BC">
        <w:rPr>
          <w:sz w:val="22"/>
          <w:szCs w:val="20"/>
          <w:lang w:eastAsia="es-ES"/>
        </w:rPr>
        <w:t xml:space="preserve"> se cuenta con po</w:t>
      </w:r>
      <w:r w:rsidR="002B0CB3">
        <w:rPr>
          <w:sz w:val="22"/>
          <w:szCs w:val="20"/>
          <w:lang w:eastAsia="es-ES"/>
        </w:rPr>
        <w:t>ca información sobre este país.</w:t>
      </w:r>
      <w:r w:rsidR="009412C5">
        <w:rPr>
          <w:sz w:val="22"/>
          <w:szCs w:val="20"/>
          <w:lang w:eastAsia="es-ES"/>
        </w:rPr>
        <w:t xml:space="preserve"> En México, desde 1969 Ramos-</w:t>
      </w:r>
      <w:r w:rsidR="00497A4E" w:rsidRPr="00497A4E">
        <w:rPr>
          <w:sz w:val="22"/>
          <w:szCs w:val="20"/>
          <w:lang w:eastAsia="es-ES"/>
        </w:rPr>
        <w:t>Álvarez</w:t>
      </w:r>
      <w:r w:rsidR="009412C5">
        <w:rPr>
          <w:sz w:val="22"/>
          <w:szCs w:val="20"/>
          <w:lang w:eastAsia="es-ES"/>
        </w:rPr>
        <w:t xml:space="preserve"> y cols.</w:t>
      </w:r>
      <w:r w:rsidR="00C0436D">
        <w:rPr>
          <w:sz w:val="22"/>
          <w:szCs w:val="20"/>
          <w:vertAlign w:val="superscript"/>
          <w:lang w:eastAsia="es-ES"/>
        </w:rPr>
        <w:t>19</w:t>
      </w:r>
      <w:r w:rsidR="009412C5">
        <w:rPr>
          <w:sz w:val="22"/>
          <w:szCs w:val="20"/>
          <w:lang w:eastAsia="es-ES"/>
        </w:rPr>
        <w:t xml:space="preserve"> informaron sobre</w:t>
      </w:r>
      <w:r w:rsidR="00497A4E" w:rsidRPr="00497A4E">
        <w:rPr>
          <w:sz w:val="22"/>
          <w:szCs w:val="20"/>
          <w:lang w:eastAsia="es-ES"/>
        </w:rPr>
        <w:t xml:space="preserve"> 57 casos de niños con parál</w:t>
      </w:r>
      <w:r w:rsidR="00BB7678">
        <w:rPr>
          <w:sz w:val="22"/>
          <w:szCs w:val="20"/>
          <w:lang w:eastAsia="es-ES"/>
        </w:rPr>
        <w:t>isis de neurona motora inferior:</w:t>
      </w:r>
      <w:r w:rsidR="00B9258F">
        <w:rPr>
          <w:sz w:val="22"/>
          <w:szCs w:val="20"/>
          <w:lang w:eastAsia="es-ES"/>
        </w:rPr>
        <w:t xml:space="preserve"> </w:t>
      </w:r>
      <w:r w:rsidR="00497A4E" w:rsidRPr="00497A4E">
        <w:rPr>
          <w:sz w:val="22"/>
          <w:szCs w:val="20"/>
          <w:lang w:eastAsia="es-ES"/>
        </w:rPr>
        <w:t>32 tuvieron poliomielitis, pero</w:t>
      </w:r>
      <w:r w:rsidR="00AC6DD2">
        <w:rPr>
          <w:sz w:val="22"/>
          <w:szCs w:val="20"/>
          <w:lang w:eastAsia="es-ES"/>
        </w:rPr>
        <w:t xml:space="preserve"> en</w:t>
      </w:r>
      <w:r w:rsidR="00497A4E" w:rsidRPr="00497A4E">
        <w:rPr>
          <w:sz w:val="22"/>
          <w:szCs w:val="20"/>
          <w:lang w:eastAsia="es-ES"/>
        </w:rPr>
        <w:t xml:space="preserve"> 25 casos</w:t>
      </w:r>
      <w:r w:rsidR="00AC6DD2">
        <w:rPr>
          <w:sz w:val="22"/>
          <w:szCs w:val="20"/>
          <w:lang w:eastAsia="es-ES"/>
        </w:rPr>
        <w:t>,</w:t>
      </w:r>
      <w:r w:rsidR="00497A4E" w:rsidRPr="00497A4E">
        <w:rPr>
          <w:sz w:val="22"/>
          <w:szCs w:val="20"/>
          <w:lang w:eastAsia="es-ES"/>
        </w:rPr>
        <w:t xml:space="preserve"> en retrospectiva</w:t>
      </w:r>
      <w:r w:rsidR="00AC6DD2">
        <w:rPr>
          <w:sz w:val="22"/>
          <w:szCs w:val="20"/>
          <w:lang w:eastAsia="es-ES"/>
        </w:rPr>
        <w:t>,</w:t>
      </w:r>
      <w:r w:rsidR="00497A4E" w:rsidRPr="00497A4E">
        <w:rPr>
          <w:sz w:val="22"/>
          <w:szCs w:val="20"/>
          <w:lang w:eastAsia="es-ES"/>
        </w:rPr>
        <w:t xml:space="preserve"> correspondían a dos variantes de SGB: 10 con AIDP y 15 con el subtipo</w:t>
      </w:r>
      <w:r w:rsidR="00AC6DD2">
        <w:rPr>
          <w:sz w:val="22"/>
          <w:szCs w:val="20"/>
          <w:lang w:eastAsia="es-ES"/>
        </w:rPr>
        <w:t xml:space="preserve"> axonal. Histopatológicamente e</w:t>
      </w:r>
      <w:r w:rsidR="00497A4E" w:rsidRPr="00497A4E">
        <w:rPr>
          <w:sz w:val="22"/>
          <w:szCs w:val="20"/>
          <w:lang w:eastAsia="es-ES"/>
        </w:rPr>
        <w:t xml:space="preserve">ste último </w:t>
      </w:r>
      <w:r w:rsidR="00FA27FD">
        <w:rPr>
          <w:sz w:val="22"/>
          <w:szCs w:val="20"/>
          <w:lang w:eastAsia="es-ES"/>
        </w:rPr>
        <w:t xml:space="preserve">grupo </w:t>
      </w:r>
      <w:r w:rsidR="00497A4E" w:rsidRPr="00497A4E">
        <w:rPr>
          <w:sz w:val="22"/>
          <w:szCs w:val="20"/>
          <w:lang w:eastAsia="es-ES"/>
        </w:rPr>
        <w:t xml:space="preserve">se </w:t>
      </w:r>
      <w:r w:rsidR="00FA27FD">
        <w:rPr>
          <w:sz w:val="22"/>
          <w:szCs w:val="20"/>
          <w:lang w:eastAsia="es-ES"/>
        </w:rPr>
        <w:t xml:space="preserve">subdividió en dos: </w:t>
      </w:r>
      <w:r w:rsidR="00497A4E" w:rsidRPr="00497A4E">
        <w:rPr>
          <w:sz w:val="22"/>
          <w:szCs w:val="20"/>
          <w:lang w:eastAsia="es-ES"/>
        </w:rPr>
        <w:t>neuronopatía citoplasmática y neuronopa</w:t>
      </w:r>
      <w:r w:rsidR="00E025E2">
        <w:rPr>
          <w:sz w:val="22"/>
          <w:szCs w:val="20"/>
          <w:lang w:eastAsia="es-ES"/>
        </w:rPr>
        <w:t xml:space="preserve">tía nuclear, con características muy similares a los casos </w:t>
      </w:r>
      <w:r w:rsidR="00852DB6">
        <w:rPr>
          <w:sz w:val="22"/>
          <w:szCs w:val="20"/>
          <w:lang w:eastAsia="es-ES"/>
        </w:rPr>
        <w:t xml:space="preserve">de AMAN </w:t>
      </w:r>
      <w:r w:rsidR="00E025E2">
        <w:rPr>
          <w:sz w:val="22"/>
          <w:szCs w:val="20"/>
          <w:lang w:eastAsia="es-ES"/>
        </w:rPr>
        <w:t>reportados años después en China</w:t>
      </w:r>
      <w:r w:rsidR="00497A4E" w:rsidRPr="00497A4E">
        <w:rPr>
          <w:sz w:val="22"/>
          <w:szCs w:val="20"/>
          <w:lang w:eastAsia="es-ES"/>
        </w:rPr>
        <w:t>.</w:t>
      </w:r>
      <w:r w:rsidR="00DC5D16">
        <w:rPr>
          <w:sz w:val="22"/>
          <w:szCs w:val="20"/>
          <w:vertAlign w:val="superscript"/>
          <w:lang w:eastAsia="es-ES"/>
        </w:rPr>
        <w:t>19</w:t>
      </w:r>
      <w:r w:rsidR="00497A4E" w:rsidRPr="00497A4E">
        <w:rPr>
          <w:sz w:val="22"/>
          <w:szCs w:val="20"/>
          <w:lang w:eastAsia="es-ES"/>
        </w:rPr>
        <w:t xml:space="preserve"> </w:t>
      </w:r>
      <w:r w:rsidR="009F04BE">
        <w:rPr>
          <w:sz w:val="22"/>
          <w:szCs w:val="20"/>
          <w:lang w:eastAsia="es-ES"/>
        </w:rPr>
        <w:t>Los resultados del presente estudio son consistentes con lo observado</w:t>
      </w:r>
      <w:r w:rsidR="00E26781">
        <w:rPr>
          <w:sz w:val="22"/>
          <w:szCs w:val="20"/>
          <w:lang w:eastAsia="es-ES"/>
        </w:rPr>
        <w:t xml:space="preserve"> previamente en México</w:t>
      </w:r>
      <w:r w:rsidR="008853E6">
        <w:rPr>
          <w:sz w:val="22"/>
          <w:szCs w:val="20"/>
          <w:lang w:eastAsia="es-ES"/>
        </w:rPr>
        <w:t xml:space="preserve">, por lo que podemos concluir que las variantes axonales son </w:t>
      </w:r>
      <w:r w:rsidR="00A47C73">
        <w:rPr>
          <w:sz w:val="22"/>
          <w:szCs w:val="20"/>
          <w:lang w:eastAsia="es-ES"/>
        </w:rPr>
        <w:t>las más frecuentes en nuestro país.</w:t>
      </w:r>
      <w:r w:rsidR="00284802">
        <w:rPr>
          <w:sz w:val="22"/>
          <w:szCs w:val="20"/>
          <w:vertAlign w:val="superscript"/>
          <w:lang w:eastAsia="es-ES"/>
        </w:rPr>
        <w:t>19-30</w:t>
      </w:r>
      <w:r w:rsidR="00A47C73">
        <w:rPr>
          <w:sz w:val="22"/>
          <w:szCs w:val="20"/>
          <w:lang w:eastAsia="es-ES"/>
        </w:rPr>
        <w:t xml:space="preserve"> </w:t>
      </w:r>
    </w:p>
    <w:p w14:paraId="7FDB16D7" w14:textId="77C33AE9" w:rsidR="00E663B7" w:rsidRPr="00453240" w:rsidRDefault="00695E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szCs w:val="20"/>
          <w:lang w:eastAsia="es-ES"/>
        </w:rPr>
      </w:pPr>
      <w:r>
        <w:rPr>
          <w:sz w:val="22"/>
          <w:szCs w:val="20"/>
          <w:lang w:eastAsia="es-ES"/>
        </w:rPr>
        <w:tab/>
      </w:r>
      <w:r w:rsidR="00497A4E" w:rsidRPr="00497A4E">
        <w:rPr>
          <w:sz w:val="22"/>
          <w:szCs w:val="20"/>
          <w:lang w:eastAsia="es-ES"/>
        </w:rPr>
        <w:t>Este estudio tiene claras limitaciones, al ser retrospectivo y observacional, pero los resultados fomentan la realización de nuevas investigaciones de índole prospectiva</w:t>
      </w:r>
      <w:r w:rsidR="009061CC">
        <w:rPr>
          <w:sz w:val="22"/>
          <w:szCs w:val="20"/>
          <w:lang w:eastAsia="es-ES"/>
        </w:rPr>
        <w:t>,</w:t>
      </w:r>
      <w:r w:rsidR="00497A4E" w:rsidRPr="00497A4E">
        <w:rPr>
          <w:sz w:val="22"/>
          <w:szCs w:val="20"/>
          <w:lang w:eastAsia="es-ES"/>
        </w:rPr>
        <w:t xml:space="preserve"> ya que este predominio de formas axonales en la población mexicana estudiada podría tener impacto en el </w:t>
      </w:r>
      <w:r w:rsidR="009061CC">
        <w:rPr>
          <w:sz w:val="22"/>
          <w:szCs w:val="20"/>
          <w:lang w:eastAsia="es-ES"/>
        </w:rPr>
        <w:t xml:space="preserve">pronóstico y el </w:t>
      </w:r>
      <w:r w:rsidR="00497A4E" w:rsidRPr="00497A4E">
        <w:rPr>
          <w:sz w:val="22"/>
          <w:szCs w:val="20"/>
          <w:lang w:eastAsia="es-ES"/>
        </w:rPr>
        <w:t xml:space="preserve">manejo del </w:t>
      </w:r>
      <w:r w:rsidR="009061CC">
        <w:rPr>
          <w:sz w:val="22"/>
          <w:szCs w:val="20"/>
          <w:lang w:eastAsia="es-ES"/>
        </w:rPr>
        <w:t>SGB</w:t>
      </w:r>
      <w:r w:rsidR="00497A4E" w:rsidRPr="00497A4E">
        <w:rPr>
          <w:sz w:val="22"/>
          <w:szCs w:val="20"/>
          <w:lang w:eastAsia="es-ES"/>
        </w:rPr>
        <w:t xml:space="preserve">, ya que los </w:t>
      </w:r>
      <w:r w:rsidR="00497A4E" w:rsidRPr="00497A4E">
        <w:rPr>
          <w:sz w:val="22"/>
          <w:szCs w:val="20"/>
          <w:lang w:eastAsia="es-ES"/>
        </w:rPr>
        <w:lastRenderedPageBreak/>
        <w:t xml:space="preserve">tratamientos </w:t>
      </w:r>
      <w:r w:rsidR="00CA5EE1">
        <w:rPr>
          <w:sz w:val="22"/>
          <w:szCs w:val="20"/>
          <w:lang w:eastAsia="es-ES"/>
        </w:rPr>
        <w:t>recomendados</w:t>
      </w:r>
      <w:r w:rsidR="00497A4E" w:rsidRPr="00497A4E">
        <w:rPr>
          <w:sz w:val="22"/>
          <w:szCs w:val="20"/>
          <w:lang w:eastAsia="es-ES"/>
        </w:rPr>
        <w:t>, ya sea plasmaféresis o inmunoglobul</w:t>
      </w:r>
      <w:r w:rsidR="00CE2751">
        <w:rPr>
          <w:sz w:val="22"/>
          <w:szCs w:val="20"/>
          <w:lang w:eastAsia="es-ES"/>
        </w:rPr>
        <w:t>ina</w:t>
      </w:r>
      <w:r w:rsidR="00497A4E" w:rsidRPr="00497A4E">
        <w:rPr>
          <w:sz w:val="22"/>
          <w:szCs w:val="20"/>
          <w:lang w:eastAsia="es-ES"/>
        </w:rPr>
        <w:t xml:space="preserve"> IV,</w:t>
      </w:r>
      <w:r w:rsidR="00CE2751">
        <w:rPr>
          <w:sz w:val="22"/>
          <w:szCs w:val="20"/>
          <w:lang w:eastAsia="es-ES"/>
        </w:rPr>
        <w:t xml:space="preserve"> tienen un alto costo económico</w:t>
      </w:r>
      <w:r w:rsidR="00497A4E" w:rsidRPr="00497A4E">
        <w:rPr>
          <w:sz w:val="22"/>
          <w:szCs w:val="20"/>
          <w:lang w:eastAsia="es-ES"/>
        </w:rPr>
        <w:t xml:space="preserve"> y </w:t>
      </w:r>
      <w:r w:rsidR="00CE2751">
        <w:rPr>
          <w:sz w:val="22"/>
          <w:szCs w:val="20"/>
          <w:lang w:eastAsia="es-ES"/>
        </w:rPr>
        <w:t xml:space="preserve">una </w:t>
      </w:r>
      <w:r w:rsidR="00CE2751" w:rsidRPr="00497A4E">
        <w:rPr>
          <w:sz w:val="22"/>
          <w:szCs w:val="20"/>
          <w:lang w:eastAsia="es-ES"/>
        </w:rPr>
        <w:t xml:space="preserve">eficiencia terapéutica </w:t>
      </w:r>
      <w:r w:rsidR="00497A4E" w:rsidRPr="00497A4E">
        <w:rPr>
          <w:sz w:val="22"/>
          <w:szCs w:val="20"/>
          <w:lang w:eastAsia="es-ES"/>
        </w:rPr>
        <w:t xml:space="preserve">no demostrada </w:t>
      </w:r>
      <w:r w:rsidR="00CE2751">
        <w:rPr>
          <w:sz w:val="22"/>
          <w:szCs w:val="20"/>
          <w:lang w:eastAsia="es-ES"/>
        </w:rPr>
        <w:t>para</w:t>
      </w:r>
      <w:r w:rsidR="00497A4E" w:rsidRPr="00497A4E">
        <w:rPr>
          <w:sz w:val="22"/>
          <w:szCs w:val="20"/>
          <w:lang w:eastAsia="es-ES"/>
        </w:rPr>
        <w:t xml:space="preserve"> las formas axonales.  </w:t>
      </w:r>
    </w:p>
    <w:p w14:paraId="130836D6" w14:textId="333523AF" w:rsidR="00E663B7"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rFonts w:ascii="Arial Bold" w:hAnsi="Arial Bold"/>
          <w:sz w:val="22"/>
        </w:rPr>
      </w:pPr>
    </w:p>
    <w:p w14:paraId="3D2C659E" w14:textId="28EBF86A" w:rsidR="00E663B7" w:rsidRDefault="00147D97" w:rsidP="00CC00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r>
        <w:rPr>
          <w:sz w:val="22"/>
        </w:rPr>
        <w:tab/>
        <w:t>En conclusión, e</w:t>
      </w:r>
      <w:r w:rsidR="00CC00F7">
        <w:rPr>
          <w:sz w:val="22"/>
        </w:rPr>
        <w:t>n esta población mexicana estudiada s</w:t>
      </w:r>
      <w:r w:rsidR="00FF2434" w:rsidRPr="00FF2434">
        <w:rPr>
          <w:sz w:val="22"/>
        </w:rPr>
        <w:t xml:space="preserve">e observaron algunas diferencias respecto a lo informado en países occidentales, entre ellas, una alta frecuencia de variantes axonales, que fueron más severas y que implicaron mayor tiempo de estancia </w:t>
      </w:r>
      <w:r w:rsidR="00FF2434" w:rsidRPr="00191A73">
        <w:rPr>
          <w:sz w:val="22"/>
        </w:rPr>
        <w:t>hospitalaria.</w:t>
      </w:r>
      <w:r w:rsidR="00180476" w:rsidRPr="00191A73">
        <w:rPr>
          <w:sz w:val="22"/>
        </w:rPr>
        <w:t xml:space="preserve"> Además se encontró una alta frecuencia de la variante AIDP en primavera</w:t>
      </w:r>
      <w:r w:rsidR="002E4E51" w:rsidRPr="00191A73">
        <w:rPr>
          <w:sz w:val="22"/>
        </w:rPr>
        <w:t xml:space="preserve">, mientras que las variantes axonales tuvieron una tendencia a </w:t>
      </w:r>
      <w:r w:rsidR="00F67C24" w:rsidRPr="00191A73">
        <w:rPr>
          <w:sz w:val="22"/>
        </w:rPr>
        <w:t>presentarse</w:t>
      </w:r>
      <w:r w:rsidR="002E4E51" w:rsidRPr="00191A73">
        <w:rPr>
          <w:sz w:val="22"/>
        </w:rPr>
        <w:t xml:space="preserve"> principalmente en los meses más fríos. Sin embargo, dado que la región de Villahermosa</w:t>
      </w:r>
      <w:r w:rsidR="00B9258F" w:rsidRPr="00191A73">
        <w:rPr>
          <w:sz w:val="22"/>
        </w:rPr>
        <w:t>,</w:t>
      </w:r>
      <w:r w:rsidR="002E4E51" w:rsidRPr="00191A73">
        <w:rPr>
          <w:sz w:val="22"/>
        </w:rPr>
        <w:t xml:space="preserve"> </w:t>
      </w:r>
      <w:r w:rsidR="00E95A65" w:rsidRPr="00191A73">
        <w:rPr>
          <w:sz w:val="22"/>
        </w:rPr>
        <w:t xml:space="preserve">Tabasco </w:t>
      </w:r>
      <w:r w:rsidR="002E4E51" w:rsidRPr="00191A73">
        <w:rPr>
          <w:sz w:val="22"/>
        </w:rPr>
        <w:t>es en realidad cálida</w:t>
      </w:r>
      <w:r w:rsidR="00366F05" w:rsidRPr="00191A73">
        <w:rPr>
          <w:sz w:val="22"/>
        </w:rPr>
        <w:t xml:space="preserve"> dura</w:t>
      </w:r>
      <w:r w:rsidR="00DD5945" w:rsidRPr="00191A73">
        <w:rPr>
          <w:sz w:val="22"/>
        </w:rPr>
        <w:t xml:space="preserve">nte </w:t>
      </w:r>
      <w:r w:rsidR="00B9258F" w:rsidRPr="00191A73">
        <w:rPr>
          <w:sz w:val="22"/>
        </w:rPr>
        <w:t xml:space="preserve">todo </w:t>
      </w:r>
      <w:r w:rsidR="00DD5945" w:rsidRPr="00191A73">
        <w:rPr>
          <w:sz w:val="22"/>
        </w:rPr>
        <w:t>el año</w:t>
      </w:r>
      <w:r w:rsidR="002E4E51" w:rsidRPr="00191A73">
        <w:rPr>
          <w:sz w:val="22"/>
        </w:rPr>
        <w:t>,</w:t>
      </w:r>
      <w:r w:rsidR="002E4E51">
        <w:rPr>
          <w:sz w:val="22"/>
        </w:rPr>
        <w:t xml:space="preserve"> estos resultados deben aguardar su confirmación en otras regiones de México para </w:t>
      </w:r>
      <w:r w:rsidR="003765B0">
        <w:rPr>
          <w:sz w:val="22"/>
        </w:rPr>
        <w:t>permitir su generalización.</w:t>
      </w:r>
    </w:p>
    <w:p w14:paraId="668E3FD9" w14:textId="77777777" w:rsidR="00851753" w:rsidRDefault="00851753" w:rsidP="00CC00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44F1D0C7" w14:textId="4E4A9A24" w:rsidR="006B3F05" w:rsidRDefault="006B3F05" w:rsidP="006B3F05">
      <w:pPr>
        <w:pStyle w:val="Encabezado1"/>
        <w:tabs>
          <w:tab w:val="clear" w:pos="4419"/>
          <w:tab w:val="clear" w:pos="883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sz w:val="22"/>
        </w:rPr>
      </w:pPr>
      <w:r>
        <w:rPr>
          <w:rFonts w:ascii="Arial Bold" w:hAnsi="Arial Bold"/>
          <w:sz w:val="22"/>
        </w:rPr>
        <w:t>DECLARACIÓN DE CONFLICTOS DE INTERÉS</w:t>
      </w:r>
    </w:p>
    <w:p w14:paraId="78CF1829" w14:textId="17943F41" w:rsidR="006B3F05" w:rsidRDefault="006B3F05" w:rsidP="006B3F05">
      <w:pPr>
        <w:pStyle w:val="Encabezado1"/>
        <w:tabs>
          <w:tab w:val="clear" w:pos="4419"/>
          <w:tab w:val="clear" w:pos="883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rPr>
      </w:pPr>
      <w:r>
        <w:rPr>
          <w:sz w:val="22"/>
        </w:rPr>
        <w:t>Los autores declaran que en este estudio no existen conflictos de interés relevantes.</w:t>
      </w:r>
    </w:p>
    <w:p w14:paraId="701416FB" w14:textId="77777777" w:rsidR="006B3F05" w:rsidRDefault="006B3F05" w:rsidP="006B3F05">
      <w:pPr>
        <w:pStyle w:val="Encabezado1"/>
        <w:tabs>
          <w:tab w:val="clear" w:pos="4419"/>
          <w:tab w:val="clear" w:pos="883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rFonts w:ascii="Arial Bold" w:hAnsi="Arial Bold"/>
          <w:sz w:val="22"/>
        </w:rPr>
      </w:pPr>
    </w:p>
    <w:p w14:paraId="27C5F32E" w14:textId="5C94E55D" w:rsidR="006B3F05" w:rsidRDefault="006B3F05" w:rsidP="006B3F05">
      <w:pPr>
        <w:pStyle w:val="Encabezado1"/>
        <w:tabs>
          <w:tab w:val="clear" w:pos="4419"/>
          <w:tab w:val="clear" w:pos="883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sz w:val="22"/>
        </w:rPr>
      </w:pPr>
      <w:r>
        <w:rPr>
          <w:rFonts w:ascii="Arial Bold" w:hAnsi="Arial Bold"/>
          <w:sz w:val="22"/>
        </w:rPr>
        <w:t>FUENTES DE FINANCIAMIENTO</w:t>
      </w:r>
    </w:p>
    <w:p w14:paraId="4188D698" w14:textId="69971C4D" w:rsidR="00DB0B01" w:rsidRDefault="006B3F05" w:rsidP="006B3F05">
      <w:pPr>
        <w:spacing w:line="480" w:lineRule="auto"/>
        <w:rPr>
          <w:rFonts w:ascii="Arial Bold" w:hAnsi="Arial Bold"/>
          <w:sz w:val="22"/>
          <w:lang w:val="en-US"/>
        </w:rPr>
      </w:pPr>
      <w:r>
        <w:rPr>
          <w:sz w:val="22"/>
          <w:szCs w:val="20"/>
          <w:lang w:eastAsia="es-ES"/>
        </w:rPr>
        <w:t>No existió una fuente de financiamiento particular para este informe científico.</w:t>
      </w:r>
    </w:p>
    <w:p w14:paraId="3CB36371" w14:textId="77777777" w:rsidR="006B3F05" w:rsidRDefault="006B3F05" w:rsidP="006B3F05">
      <w:pPr>
        <w:spacing w:line="480" w:lineRule="auto"/>
        <w:rPr>
          <w:rFonts w:ascii="Arial Bold" w:hAnsi="Arial Bold"/>
          <w:sz w:val="22"/>
          <w:lang w:val="en-US"/>
        </w:rPr>
      </w:pPr>
      <w:r>
        <w:rPr>
          <w:rFonts w:ascii="Arial Bold" w:hAnsi="Arial Bold"/>
          <w:sz w:val="22"/>
          <w:lang w:val="en-US"/>
        </w:rPr>
        <w:br w:type="page"/>
      </w:r>
    </w:p>
    <w:p w14:paraId="0A840859" w14:textId="4DC293F8" w:rsidR="00E663B7" w:rsidRPr="00DB0B01"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rFonts w:ascii="Arial Bold" w:hAnsi="Arial Bold"/>
          <w:sz w:val="22"/>
          <w:lang w:val="en-US"/>
        </w:rPr>
      </w:pPr>
      <w:r w:rsidRPr="00DB0B01">
        <w:rPr>
          <w:rFonts w:ascii="Arial Bold" w:hAnsi="Arial Bold"/>
          <w:sz w:val="22"/>
          <w:lang w:val="en-US"/>
        </w:rPr>
        <w:lastRenderedPageBreak/>
        <w:t>REFERENCIAS</w:t>
      </w:r>
    </w:p>
    <w:p w14:paraId="0640F243" w14:textId="77777777"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1.</w:t>
      </w:r>
      <w:r w:rsidRPr="00DB0B01">
        <w:rPr>
          <w:sz w:val="22"/>
        </w:rPr>
        <w:tab/>
        <w:t xml:space="preserve">Asbury AK, Cornblath DR. Assesment of current diagnosis criteria for Guillain-Barré syndrome. Ann Neurol 1990; 27(suppl): S21-S24. </w:t>
      </w:r>
    </w:p>
    <w:p w14:paraId="049AA319" w14:textId="77777777"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2.</w:t>
      </w:r>
      <w:r w:rsidRPr="00DB0B01">
        <w:rPr>
          <w:sz w:val="22"/>
        </w:rPr>
        <w:tab/>
        <w:t>Bradshaw DY, Jones HR Jr. Guillain-Barré syndrome in children: clinical course, electrodiagnosis, and prognosis. Muscle Nerve 1992; 15: 500-506.</w:t>
      </w:r>
    </w:p>
    <w:p w14:paraId="3B6FB6BF" w14:textId="77777777"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3.</w:t>
      </w:r>
      <w:r w:rsidRPr="00DB0B01">
        <w:rPr>
          <w:sz w:val="22"/>
        </w:rPr>
        <w:tab/>
        <w:t>Asbury AK. New concepts of Guillain-Barré syndrome. J Child Neurol 2000; 15: 183-191.</w:t>
      </w:r>
    </w:p>
    <w:p w14:paraId="47C28DDC" w14:textId="77777777"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4.</w:t>
      </w:r>
      <w:r w:rsidRPr="00DB0B01">
        <w:rPr>
          <w:sz w:val="22"/>
        </w:rPr>
        <w:tab/>
        <w:t>Yuki N, Yoshino H, Sato S, Miyatake T. Acute axonal polyneuropathy associated with anti-GM1, antibodies following Campylobacter jejuni enteritis. Neurology 1990; 40: 1900-1902.</w:t>
      </w:r>
    </w:p>
    <w:p w14:paraId="0DC90DE9" w14:textId="77777777"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5.</w:t>
      </w:r>
      <w:r w:rsidRPr="00DB0B01">
        <w:rPr>
          <w:sz w:val="22"/>
        </w:rPr>
        <w:tab/>
        <w:t>Rees JH, Soudain SE, Gregson NA, Hughes RAC. Campylobacter jejuni infection and Guillain-Barré syndrome. N Engl J Med 1995; 333: 1374-1379.</w:t>
      </w:r>
    </w:p>
    <w:p w14:paraId="75276714" w14:textId="77777777"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6.</w:t>
      </w:r>
      <w:r w:rsidRPr="00DB0B01">
        <w:rPr>
          <w:sz w:val="22"/>
        </w:rPr>
        <w:tab/>
        <w:t>Ress JH, Gregson NA, Hughes RAC. Anti-ganglioside antibodies in Guillain-Barré syndrome and their relationship to Campylobacter jejuni infection. Ann Neurol 1995; 38: 809-816.</w:t>
      </w:r>
    </w:p>
    <w:p w14:paraId="03AA5664" w14:textId="1DC9E033"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7.</w:t>
      </w:r>
      <w:r w:rsidRPr="00DB0B01">
        <w:rPr>
          <w:sz w:val="22"/>
        </w:rPr>
        <w:tab/>
        <w:t xml:space="preserve">Hadden RDM, Cornblath DR, Hughes RAC, Zielasek J, Hartung HP, Toyka KV, </w:t>
      </w:r>
      <w:r w:rsidR="00187207">
        <w:rPr>
          <w:sz w:val="22"/>
        </w:rPr>
        <w:t>et al</w:t>
      </w:r>
      <w:r w:rsidRPr="00DB0B01">
        <w:rPr>
          <w:sz w:val="22"/>
        </w:rPr>
        <w:t>. Electrophysiological classification of Guillain-Barré syndrome. Ann Neurol 1998; 44: 780-788.</w:t>
      </w:r>
    </w:p>
    <w:p w14:paraId="38C0F200" w14:textId="30766E70"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8.</w:t>
      </w:r>
      <w:r w:rsidRPr="00DB0B01">
        <w:rPr>
          <w:sz w:val="22"/>
        </w:rPr>
        <w:tab/>
        <w:t xml:space="preserve">Feasby TE, Gilbert JJ, Brown WF, Bolton CF, Hahn AF, Koopman WF, </w:t>
      </w:r>
      <w:r w:rsidR="00C21B06">
        <w:rPr>
          <w:sz w:val="22"/>
        </w:rPr>
        <w:t>et al</w:t>
      </w:r>
      <w:r w:rsidRPr="00DB0B01">
        <w:rPr>
          <w:sz w:val="22"/>
        </w:rPr>
        <w:t xml:space="preserve">. Severe axonal degeneration in acute Guillain-Barré polyneuropathy.  Brain 1986; 109: 1115-1126. </w:t>
      </w:r>
    </w:p>
    <w:p w14:paraId="5D10C244" w14:textId="1A1AF0A8"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9.</w:t>
      </w:r>
      <w:r w:rsidRPr="00DB0B01">
        <w:rPr>
          <w:sz w:val="22"/>
        </w:rPr>
        <w:tab/>
        <w:t>McKhann GM, Cornblath DR, Griffin JW, Ho TW, Li CY, Jiang Z</w:t>
      </w:r>
      <w:r w:rsidR="001A6282">
        <w:rPr>
          <w:sz w:val="22"/>
        </w:rPr>
        <w:t>, et al</w:t>
      </w:r>
      <w:r w:rsidRPr="00DB0B01">
        <w:rPr>
          <w:sz w:val="22"/>
        </w:rPr>
        <w:t>. Acute motor axonal neuropathy: A frequent cause of acute flaccid paralysis in China. Ann Neurol 1993; 33: 333-342.</w:t>
      </w:r>
    </w:p>
    <w:p w14:paraId="66F9837E" w14:textId="3BCF9882"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10.</w:t>
      </w:r>
      <w:r w:rsidRPr="00DB0B01">
        <w:rPr>
          <w:sz w:val="22"/>
        </w:rPr>
        <w:tab/>
        <w:t xml:space="preserve">Griffin JW, Li CY, Ho TW, Xue P, Macko C, Gao CY, </w:t>
      </w:r>
      <w:r w:rsidR="000C4B71">
        <w:rPr>
          <w:sz w:val="22"/>
        </w:rPr>
        <w:t>et al</w:t>
      </w:r>
      <w:r w:rsidRPr="00DB0B01">
        <w:rPr>
          <w:sz w:val="22"/>
        </w:rPr>
        <w:t>. Guillain-Barré syndrome in northern China: the spectrum of neuropathologic changes in clinically defined cases. Brain 1995; 118: 577-595.</w:t>
      </w:r>
    </w:p>
    <w:p w14:paraId="0D365BFB" w14:textId="21199AC9"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lastRenderedPageBreak/>
        <w:t>11.</w:t>
      </w:r>
      <w:r w:rsidRPr="00DB0B01">
        <w:rPr>
          <w:sz w:val="22"/>
        </w:rPr>
        <w:tab/>
        <w:t xml:space="preserve">Ho TW, Mishu B, Li CY, Gao CY, Cornblath DR, Griffin JW, </w:t>
      </w:r>
      <w:r w:rsidR="00DF74BD">
        <w:rPr>
          <w:sz w:val="22"/>
        </w:rPr>
        <w:t>et al</w:t>
      </w:r>
      <w:r w:rsidRPr="00DB0B01">
        <w:rPr>
          <w:sz w:val="22"/>
        </w:rPr>
        <w:t>. Guillain-Barré syndrome in northern China: Relationship to Campylobacter jejuni infection and antiglycolipid antibodies. Brain 1995; 118: 597-605.</w:t>
      </w:r>
    </w:p>
    <w:p w14:paraId="7973728A" w14:textId="77777777"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12.</w:t>
      </w:r>
      <w:r w:rsidRPr="00DB0B01">
        <w:rPr>
          <w:sz w:val="22"/>
        </w:rPr>
        <w:tab/>
        <w:t>Lyu RK, Tang LM, Cheng SY, Hsu WC, Chen ST. Guillain-Barré syndrome in Taiwan: a clinical study of 167 patients. J Neurol Neurosurg Psychiatry. 1997; 63: 494-500.</w:t>
      </w:r>
    </w:p>
    <w:p w14:paraId="5CFE077A" w14:textId="31467CFF"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13.</w:t>
      </w:r>
      <w:r w:rsidRPr="00DB0B01">
        <w:rPr>
          <w:sz w:val="22"/>
        </w:rPr>
        <w:tab/>
        <w:t xml:space="preserve">Massaro ME, Rodriguez EC, Pociecha J, Arroyo HA, Sacolitti M, Taratuto AL, </w:t>
      </w:r>
      <w:r w:rsidR="00180BEA">
        <w:rPr>
          <w:sz w:val="22"/>
        </w:rPr>
        <w:t>et al</w:t>
      </w:r>
      <w:r w:rsidRPr="00DB0B01">
        <w:rPr>
          <w:sz w:val="22"/>
        </w:rPr>
        <w:t>. Nerve biopsy in children with severe Guillain-Barré syndrome and inexcitable motor nerves. Neurology. 1998;51:394-8.</w:t>
      </w:r>
    </w:p>
    <w:p w14:paraId="1871AA2A" w14:textId="77777777"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14.</w:t>
      </w:r>
      <w:r w:rsidRPr="00DB0B01">
        <w:rPr>
          <w:sz w:val="22"/>
        </w:rPr>
        <w:tab/>
        <w:t>Waxman SG. Do 'demyelinating' diseases involve more than myelin? Nat Med. 2000;6:738-9.</w:t>
      </w:r>
    </w:p>
    <w:p w14:paraId="5B99D4BD" w14:textId="77777777"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15.</w:t>
      </w:r>
      <w:r w:rsidRPr="00DB0B01">
        <w:rPr>
          <w:sz w:val="22"/>
        </w:rPr>
        <w:tab/>
        <w:t>Chowdhury D, Arora A. Axonal Guillain-Barré syndrome: a critical review. Acta Neurol Scand. 2001;103:267-77.</w:t>
      </w:r>
    </w:p>
    <w:p w14:paraId="37833B71" w14:textId="77777777"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16.</w:t>
      </w:r>
      <w:r w:rsidRPr="00DB0B01">
        <w:rPr>
          <w:sz w:val="22"/>
        </w:rPr>
        <w:tab/>
        <w:t>Tekgul H, Serdaroglu G, Tutuncuoglu S. Outcome of axonal and demyelinating forms of Guillain-Barré syndrome in children. Pediatr Neurol 2003; 28: 295-299.</w:t>
      </w:r>
    </w:p>
    <w:p w14:paraId="5A4C8569" w14:textId="5269C38E"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17.</w:t>
      </w:r>
      <w:r w:rsidRPr="00DB0B01">
        <w:rPr>
          <w:sz w:val="22"/>
        </w:rPr>
        <w:tab/>
        <w:t>Shafqat S, Khealani BA, Awan F, Abedin SE. Guillain-Barré syndrome in</w:t>
      </w:r>
      <w:r w:rsidR="00DB0B01">
        <w:rPr>
          <w:sz w:val="22"/>
        </w:rPr>
        <w:t xml:space="preserve"> </w:t>
      </w:r>
      <w:r w:rsidRPr="00DB0B01">
        <w:rPr>
          <w:sz w:val="22"/>
        </w:rPr>
        <w:t xml:space="preserve">Pakistan: similarity of demyelinating and axonal variants. Eur J Neurol. 2006; 13: 662-665. </w:t>
      </w:r>
    </w:p>
    <w:p w14:paraId="44A6EBB4" w14:textId="76334AC6"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18.</w:t>
      </w:r>
      <w:r w:rsidRPr="00DB0B01">
        <w:rPr>
          <w:sz w:val="22"/>
        </w:rPr>
        <w:tab/>
        <w:t xml:space="preserve">Nagasawa K, Kuwabara S, Misawa S, Fujii K, Tanabe Y, Yuki N, Hattori T, </w:t>
      </w:r>
      <w:r w:rsidR="00180BEA">
        <w:rPr>
          <w:sz w:val="22"/>
        </w:rPr>
        <w:t>et al</w:t>
      </w:r>
      <w:r w:rsidRPr="00DB0B01">
        <w:rPr>
          <w:sz w:val="22"/>
        </w:rPr>
        <w:t>. Electrophysiological subtypes and prognosis of childhood Guillain-Barré syndrome in Japan. Muscle Nerve 2006; 33: 766-770.</w:t>
      </w:r>
    </w:p>
    <w:p w14:paraId="52AD3B12" w14:textId="77777777"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19.</w:t>
      </w:r>
      <w:r w:rsidRPr="00DB0B01">
        <w:rPr>
          <w:sz w:val="22"/>
        </w:rPr>
        <w:tab/>
        <w:t>Ramos-Alvarez M, Bessudo L, Sabin AB. Paralytic syndromes associated with noninflammatory cytoplasmic or nuclear neuronopathy. Acute paralytic disease in Mexican children, neuropathologically distinguishable from Landry-Guillain-Barré syndrome. JAMA 1969; 207: 1481-92.</w:t>
      </w:r>
    </w:p>
    <w:p w14:paraId="5AC003D8" w14:textId="77777777"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20.</w:t>
      </w:r>
      <w:r w:rsidRPr="00DB0B01">
        <w:rPr>
          <w:sz w:val="22"/>
        </w:rPr>
        <w:tab/>
        <w:t>Maldonado R, Otero E. El síndrome de Guillain-Barré. Concepto actual y las características que adopta en la población mexicana. Rev Inst Nal Neurología 1978; 3-4: 125154.</w:t>
      </w:r>
    </w:p>
    <w:p w14:paraId="13605B4D" w14:textId="77777777"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lastRenderedPageBreak/>
        <w:t>21.</w:t>
      </w:r>
      <w:r w:rsidRPr="00DB0B01">
        <w:rPr>
          <w:sz w:val="22"/>
        </w:rPr>
        <w:tab/>
        <w:t>Gorodezky C, Varela B, Castro-Escobar LE, Chávez-Negrete A, Escobar-Gutiérrez A, Martínez-Mata J. HLA-DR antigens in Mexican patients with Guillain-Barre syndrome. J Neuroimmunol 1983; 4: 1-7.</w:t>
      </w:r>
    </w:p>
    <w:p w14:paraId="49F35368" w14:textId="4F9DD16E"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22.</w:t>
      </w:r>
      <w:r w:rsidRPr="00DB0B01">
        <w:rPr>
          <w:sz w:val="22"/>
        </w:rPr>
        <w:tab/>
        <w:t>Aguilar-Rebolledo F, Rendón-Macías ME, Escobar-Barrios E. [Pain in the</w:t>
      </w:r>
      <w:r w:rsidR="00DB0B01">
        <w:rPr>
          <w:sz w:val="22"/>
        </w:rPr>
        <w:t xml:space="preserve"> </w:t>
      </w:r>
      <w:r w:rsidRPr="00DB0B01">
        <w:rPr>
          <w:sz w:val="22"/>
        </w:rPr>
        <w:t>Guillain-Barré syndrome in children]. Gac Med Mex 1997; 133: 63-70.</w:t>
      </w:r>
    </w:p>
    <w:p w14:paraId="16D3A0AA" w14:textId="77777777"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23.</w:t>
      </w:r>
      <w:r w:rsidRPr="00DB0B01">
        <w:rPr>
          <w:sz w:val="22"/>
        </w:rPr>
        <w:tab/>
        <w:t>Téllez-Zenteno JF, Jacinto-Tinajero JC, Avila-Funes A, García-Ramos G, Negrete-Pulido O, Senties-Madrid H. Guillain-Barré syndrome. Experience in a third level hospital. Rev Invest Clin 2001; 53: 311-314.</w:t>
      </w:r>
    </w:p>
    <w:p w14:paraId="4FC7521A" w14:textId="77777777"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24.</w:t>
      </w:r>
      <w:r w:rsidRPr="00DB0B01">
        <w:rPr>
          <w:sz w:val="22"/>
        </w:rPr>
        <w:tab/>
        <w:t>Rábago-Cervantes R, González-Jaime JJ, Becerra-Leyva G, Quintero-Reyes MA, Ruiz-Sandoval JL. Síndrome de Guillain-Barré. Hallazgos clínicos y electrofisiológicos. Rev Mex Neuroci 2002; 3: 358.</w:t>
      </w:r>
    </w:p>
    <w:p w14:paraId="2CA5A010" w14:textId="2AE02FCA" w:rsidR="00BA1C5B" w:rsidRPr="00DB0B01" w:rsidRDefault="00BA1C5B" w:rsidP="002D1F35">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25.</w:t>
      </w:r>
      <w:r w:rsidRPr="00DB0B01">
        <w:rPr>
          <w:sz w:val="22"/>
        </w:rPr>
        <w:tab/>
        <w:t xml:space="preserve">Hafer-Macko C, </w:t>
      </w:r>
      <w:r w:rsidR="002D1F35" w:rsidRPr="002D1F35">
        <w:rPr>
          <w:sz w:val="22"/>
        </w:rPr>
        <w:t>Asbury  AK, Ramos Álvarez M, Ho  TW, Bes</w:t>
      </w:r>
      <w:r w:rsidR="002D1F35">
        <w:rPr>
          <w:sz w:val="22"/>
        </w:rPr>
        <w:t>sudo  L, Li  CY, et</w:t>
      </w:r>
      <w:r w:rsidRPr="00DB0B01">
        <w:rPr>
          <w:sz w:val="22"/>
        </w:rPr>
        <w:t xml:space="preserve"> al. Pathology of noninflammatory acute flaccid paralysis in Mexico: similarities an contrasts with recent cases studied in China. Acta Pediatr Méx 2004; 25: 168-174.</w:t>
      </w:r>
    </w:p>
    <w:p w14:paraId="68FA5FE0" w14:textId="79FD8041"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26.</w:t>
      </w:r>
      <w:r w:rsidRPr="00DB0B01">
        <w:rPr>
          <w:sz w:val="22"/>
        </w:rPr>
        <w:tab/>
        <w:t>Melano-Carranza E, Carrillo-Maravilla E, Gulías-Herrero A, Ávila-Funes JA. Síndrome de Guillain-Barré en el anciano: un estudio retrospectivo. Arch Neurocien 2004; 9: 76-79.</w:t>
      </w:r>
    </w:p>
    <w:p w14:paraId="683CFAF3" w14:textId="2D1CF550"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27.</w:t>
      </w:r>
      <w:r w:rsidRPr="00DB0B01">
        <w:rPr>
          <w:sz w:val="22"/>
        </w:rPr>
        <w:tab/>
        <w:t xml:space="preserve">González-Rivera A, Chico-Aldama P, Arzate-Barbosa P, Rodríguez-Pinto M, Mckhann-Guy M, Lobato Cecilia, </w:t>
      </w:r>
      <w:r w:rsidR="00E971CC">
        <w:rPr>
          <w:sz w:val="22"/>
        </w:rPr>
        <w:t>et al</w:t>
      </w:r>
      <w:r w:rsidRPr="00DB0B01">
        <w:rPr>
          <w:sz w:val="22"/>
        </w:rPr>
        <w:t>. Epidemiología del síndrome de Guillain-Barré asociado a Campylobacter jejuni en el INP. Acta Pediatr Mex 2006; 27: 300-303.</w:t>
      </w:r>
    </w:p>
    <w:p w14:paraId="06742FAC" w14:textId="2C60CCD7"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28.</w:t>
      </w:r>
      <w:r w:rsidRPr="00DB0B01">
        <w:rPr>
          <w:sz w:val="22"/>
        </w:rPr>
        <w:tab/>
        <w:t xml:space="preserve">Nachamkin I, Arzarte Barbosa P, Ung H, Lobato C, Gonzalez Rivera A, Rodriguez P, </w:t>
      </w:r>
      <w:r w:rsidR="00E971CC">
        <w:rPr>
          <w:sz w:val="22"/>
        </w:rPr>
        <w:t>et al</w:t>
      </w:r>
      <w:r w:rsidRPr="00DB0B01">
        <w:rPr>
          <w:sz w:val="22"/>
        </w:rPr>
        <w:t xml:space="preserve">. Patterns of Guillain-Barre syndrome in children: results from a Mexican population. Neurology 2007; 69: 1665-1671. </w:t>
      </w:r>
    </w:p>
    <w:p w14:paraId="157B1D26" w14:textId="367E0740"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29.</w:t>
      </w:r>
      <w:r w:rsidRPr="00DB0B01">
        <w:rPr>
          <w:sz w:val="22"/>
        </w:rPr>
        <w:tab/>
        <w:t>Zúñiga-González EA, Rodríguez-de la Cruz A, Millán-Padilla J.</w:t>
      </w:r>
      <w:r w:rsidR="00DB0B01">
        <w:rPr>
          <w:sz w:val="22"/>
        </w:rPr>
        <w:t xml:space="preserve"> </w:t>
      </w:r>
      <w:r w:rsidRPr="00DB0B01">
        <w:rPr>
          <w:sz w:val="22"/>
        </w:rPr>
        <w:t>[Electrophysiological subtypes of Guillain-Barré syndrome in Mexican adults]. Rev Med Inst Mex Seguro Soc 2007; 45: 463-468.</w:t>
      </w:r>
    </w:p>
    <w:p w14:paraId="2F19EF55" w14:textId="77777777"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lastRenderedPageBreak/>
        <w:t>30.</w:t>
      </w:r>
      <w:r w:rsidRPr="00DB0B01">
        <w:rPr>
          <w:sz w:val="22"/>
        </w:rPr>
        <w:tab/>
        <w:t>Ruiz-Sandoval JL, Chiquete E, Andrade-Ramos MA, Álvarez-Palazuelos LE, Lima-Ojeda JMV. Guillain-Barré Syndrome in a Referral Center of Mexico: High Frequency of Hand-Weakness Onset, Axonal and Motor Variants [Abstract P07.096]. Neurology 2008; (Suppl): 78.</w:t>
      </w:r>
    </w:p>
    <w:p w14:paraId="10FF5005" w14:textId="77777777"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31.</w:t>
      </w:r>
      <w:r w:rsidRPr="00DB0B01">
        <w:rPr>
          <w:sz w:val="22"/>
        </w:rPr>
        <w:tab/>
        <w:t>Winer JB, Hughes RA, Greenwood RJ, Perkin GD, Healy MJ. Prognosis in Guillain-Barré syndrome. Lancet 1985; 1: 1202-1203.</w:t>
      </w:r>
    </w:p>
    <w:p w14:paraId="2DAD95E0" w14:textId="77777777"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32.</w:t>
      </w:r>
      <w:r w:rsidRPr="00DB0B01">
        <w:rPr>
          <w:sz w:val="22"/>
        </w:rPr>
        <w:tab/>
        <w:t>Govoni V, Granieri E, Tola MR, Casetta I, Ruppi P, Vaghi L. The frequency of clinical variants of Guillain-Barré syndrome in Ferrara, Italy. J Neurol 1999; 246: 1010-1014.</w:t>
      </w:r>
    </w:p>
    <w:p w14:paraId="775B85D8" w14:textId="0365DA52"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33.</w:t>
      </w:r>
      <w:r w:rsidRPr="00DB0B01">
        <w:rPr>
          <w:sz w:val="22"/>
        </w:rPr>
        <w:tab/>
        <w:t xml:space="preserve">Tang J, Dai Y, Li M, Cheng M, Hong S, Jiang L, Cai F, </w:t>
      </w:r>
      <w:r w:rsidR="00E971CC">
        <w:rPr>
          <w:sz w:val="22"/>
        </w:rPr>
        <w:t>et al</w:t>
      </w:r>
      <w:r w:rsidRPr="00DB0B01">
        <w:rPr>
          <w:sz w:val="22"/>
        </w:rPr>
        <w:t>. Guillain-Barré syndrome in Chinese children: a retrospective analysis. Pediatr Neurol 2011; 45: 233-237.</w:t>
      </w:r>
    </w:p>
    <w:p w14:paraId="35E2166D" w14:textId="11192862"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34.</w:t>
      </w:r>
      <w:r w:rsidRPr="00DB0B01">
        <w:rPr>
          <w:sz w:val="22"/>
        </w:rPr>
        <w:tab/>
        <w:t>Rocha MS, Brucki SM, Carvalho AA, Lima UW. Epidemiologic features of</w:t>
      </w:r>
      <w:r w:rsidR="00DB0B01">
        <w:rPr>
          <w:sz w:val="22"/>
        </w:rPr>
        <w:t xml:space="preserve"> </w:t>
      </w:r>
      <w:r w:rsidRPr="00DB0B01">
        <w:rPr>
          <w:sz w:val="22"/>
        </w:rPr>
        <w:t>Guillain-Barré syndrome in São Paulo, Brazil. Arq Neuropsiquiatr 2004; 62: 33-37.</w:t>
      </w:r>
    </w:p>
    <w:p w14:paraId="3D832F4F" w14:textId="77777777"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35.</w:t>
      </w:r>
      <w:r w:rsidRPr="00DB0B01">
        <w:rPr>
          <w:sz w:val="22"/>
        </w:rPr>
        <w:tab/>
        <w:t>Tabanella G, Nowzari H. Cytomegalovirus-associated periodontitis and Guillain-Barré syndrome. J Periodontol 2005; 76: 2306-2311.</w:t>
      </w:r>
    </w:p>
    <w:p w14:paraId="55CF4114" w14:textId="5C398D38"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36.</w:t>
      </w:r>
      <w:r w:rsidRPr="00DB0B01">
        <w:rPr>
          <w:sz w:val="22"/>
        </w:rPr>
        <w:tab/>
        <w:t>Tam CC, O'Brien SJ, Petersen I, Islam A, Hayward A, Rodrigues LC.</w:t>
      </w:r>
      <w:r w:rsidR="00DB0B01">
        <w:rPr>
          <w:sz w:val="22"/>
        </w:rPr>
        <w:t xml:space="preserve"> </w:t>
      </w:r>
      <w:r w:rsidRPr="00DB0B01">
        <w:rPr>
          <w:sz w:val="22"/>
        </w:rPr>
        <w:t>Guillain-Barré syndrome and preceding infection with campylobacter, influenza and Epstein-Barr virus in the general practice research database. PLoS One 2007; 2: e344.</w:t>
      </w:r>
    </w:p>
    <w:p w14:paraId="0B007403" w14:textId="3F7CE57B"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37.</w:t>
      </w:r>
      <w:r w:rsidRPr="00DB0B01">
        <w:rPr>
          <w:sz w:val="22"/>
        </w:rPr>
        <w:tab/>
        <w:t xml:space="preserve">Sharma MB, Chaudhry R, Tabassum I, Ahmed NH, Sahu JK, Dhawan B, </w:t>
      </w:r>
      <w:r w:rsidR="00E971CC">
        <w:rPr>
          <w:sz w:val="22"/>
        </w:rPr>
        <w:t>et al</w:t>
      </w:r>
      <w:r w:rsidRPr="00DB0B01">
        <w:rPr>
          <w:sz w:val="22"/>
        </w:rPr>
        <w:t>. The presence of Mycoplasma pneumoniae infection and GM1 ganglioside antibodies in Guillain-Barré syndrome. J Infect Dev Ctries 2011; 5: 459-464.</w:t>
      </w:r>
    </w:p>
    <w:p w14:paraId="2B6F3F1A" w14:textId="77777777"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38.</w:t>
      </w:r>
      <w:r w:rsidRPr="00DB0B01">
        <w:rPr>
          <w:sz w:val="22"/>
        </w:rPr>
        <w:tab/>
        <w:t>Medina-González R, Chávez-García R, Chiquete E, Paredes-Casillas P, Navarro-Bonnet J, Ruiz-Sandoval JL. Síndrome de Guillain-Barré asociado a dengue. Reporte de caso. Rev Mex Neuroci 2011; 12: 159-161.</w:t>
      </w:r>
    </w:p>
    <w:p w14:paraId="65D4A222" w14:textId="77777777"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lastRenderedPageBreak/>
        <w:t>39.</w:t>
      </w:r>
      <w:r w:rsidRPr="00DB0B01">
        <w:rPr>
          <w:sz w:val="22"/>
        </w:rPr>
        <w:tab/>
        <w:t>Baxter R, Lewis N, Bakshi N, Vellozzi C, Klein NP; the CISA Network. Recurrent Guillain-Barre Syndrome Following Vaccination. Clin Infect Dis. 2012; 54: 800-804.</w:t>
      </w:r>
    </w:p>
    <w:p w14:paraId="295CDC74" w14:textId="77777777"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40.</w:t>
      </w:r>
      <w:r w:rsidRPr="00DB0B01">
        <w:rPr>
          <w:sz w:val="22"/>
        </w:rPr>
        <w:tab/>
        <w:t>Vidal P, Reyna J, Saldaña P, Richardson VL. Events temporarily associated with anti-influenza A (H1N1) vaccination in Mexico. Arch Med Res 2011; 42: 627-632.</w:t>
      </w:r>
    </w:p>
    <w:p w14:paraId="6A820968" w14:textId="77777777"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41.</w:t>
      </w:r>
      <w:r w:rsidRPr="00DB0B01">
        <w:rPr>
          <w:sz w:val="22"/>
        </w:rPr>
        <w:tab/>
        <w:t xml:space="preserve">Cheng J, Kahn DE, Wang MY. The acute motor-sensory axonal neuropathy variant of Guillain-Barré syndrome after thoracic spine surgery. J Neurosurg Spine 2011; 15: 605-609. </w:t>
      </w:r>
    </w:p>
    <w:p w14:paraId="19AFCEA0" w14:textId="77777777"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42.</w:t>
      </w:r>
      <w:r w:rsidRPr="00DB0B01">
        <w:rPr>
          <w:sz w:val="22"/>
        </w:rPr>
        <w:tab/>
        <w:t>Algahtani H, Moulin DE, Bolton CF, Abulaban AA. Guillain-Barre syndrome following cardiac surgery. Difficult diagnosis in the intensive care unit. Neurosciences (Riyadh) 2009; 14: 374-378.</w:t>
      </w:r>
    </w:p>
    <w:p w14:paraId="08967C90" w14:textId="77777777" w:rsidR="00BA1C5B"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43.</w:t>
      </w:r>
      <w:r w:rsidRPr="00DB0B01">
        <w:rPr>
          <w:sz w:val="22"/>
        </w:rPr>
        <w:tab/>
        <w:t>Schottlender JG, Lombardi D, Toledo A, Otero C, Mazia C, Menga G. Compromiso respiratorio en el syndrome de Guillain-Barré. Medicina (Buenos Aires) 1999; 59: 705-709.</w:t>
      </w:r>
    </w:p>
    <w:p w14:paraId="08D5BE45" w14:textId="77777777" w:rsidR="00DB0B01" w:rsidRPr="00DB0B01" w:rsidRDefault="00BA1C5B" w:rsidP="00DB0B01">
      <w:pPr>
        <w:tabs>
          <w:tab w:val="left" w:pos="851"/>
          <w:tab w:val="left" w:pos="2124"/>
          <w:tab w:val="left" w:pos="2832"/>
          <w:tab w:val="left" w:pos="3540"/>
          <w:tab w:val="left" w:pos="4248"/>
          <w:tab w:val="left" w:pos="4956"/>
          <w:tab w:val="left" w:pos="5664"/>
          <w:tab w:val="left" w:pos="6372"/>
          <w:tab w:val="left" w:pos="7080"/>
          <w:tab w:val="left" w:pos="7788"/>
          <w:tab w:val="left" w:pos="8496"/>
        </w:tabs>
        <w:spacing w:line="480" w:lineRule="auto"/>
        <w:ind w:left="567" w:hanging="567"/>
        <w:rPr>
          <w:sz w:val="22"/>
        </w:rPr>
      </w:pPr>
      <w:r w:rsidRPr="00DB0B01">
        <w:rPr>
          <w:sz w:val="22"/>
        </w:rPr>
        <w:t>44.</w:t>
      </w:r>
      <w:r w:rsidRPr="00DB0B01">
        <w:rPr>
          <w:sz w:val="22"/>
        </w:rPr>
        <w:tab/>
        <w:t xml:space="preserve">Paradiso G, Tripoli J, Galicchio S, Fejerman N. Epidemiological, clinical and electrodiagnostic findings in childhood Guillain-Barré syndrome: A reappraisal. </w:t>
      </w:r>
      <w:r w:rsidR="00DB0B01" w:rsidRPr="00DB0B01">
        <w:rPr>
          <w:sz w:val="22"/>
        </w:rPr>
        <w:t>Ann Neurol 1999; 46: 701-701.</w:t>
      </w:r>
    </w:p>
    <w:p w14:paraId="2DA35C26" w14:textId="77777777" w:rsidR="00DB0B01" w:rsidRDefault="00DB0B01">
      <w:pPr>
        <w:rPr>
          <w:rFonts w:ascii="Arial Italic" w:hAnsi="Arial Italic"/>
          <w:sz w:val="22"/>
          <w:szCs w:val="20"/>
          <w:lang w:eastAsia="es-ES"/>
        </w:rPr>
      </w:pPr>
      <w:r>
        <w:rPr>
          <w:rFonts w:ascii="Arial Italic" w:hAnsi="Arial Italic"/>
          <w:sz w:val="22"/>
          <w:szCs w:val="20"/>
          <w:lang w:eastAsia="es-ES"/>
        </w:rPr>
        <w:br w:type="page"/>
      </w:r>
    </w:p>
    <w:p w14:paraId="0ECD8645" w14:textId="7039605A" w:rsidR="007B5C03" w:rsidRDefault="007B5C03" w:rsidP="007B5C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rFonts w:ascii="Arial Bold" w:hAnsi="Arial Bold"/>
          <w:sz w:val="22"/>
        </w:rPr>
      </w:pPr>
      <w:r>
        <w:rPr>
          <w:rFonts w:ascii="Arial Bold" w:hAnsi="Arial Bold"/>
          <w:sz w:val="22"/>
        </w:rPr>
        <w:lastRenderedPageBreak/>
        <w:t>[TABLAS]</w:t>
      </w:r>
    </w:p>
    <w:p w14:paraId="234AFCB6" w14:textId="77777777" w:rsidR="007B5C03" w:rsidRDefault="007B5C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rPr>
      </w:pPr>
    </w:p>
    <w:p w14:paraId="32D673C4" w14:textId="618BD9DA" w:rsidR="00E663B7" w:rsidRPr="00DB0B01" w:rsidRDefault="007B5C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Italic" w:hAnsi="Arial Italic"/>
          <w:sz w:val="22"/>
          <w:szCs w:val="20"/>
          <w:lang w:eastAsia="es-ES"/>
        </w:rPr>
      </w:pPr>
      <w:r>
        <w:rPr>
          <w:rFonts w:ascii="Arial Bold" w:hAnsi="Arial Bold"/>
          <w:sz w:val="22"/>
        </w:rPr>
        <w:t>Tabla</w:t>
      </w:r>
      <w:r w:rsidR="00E663B7">
        <w:rPr>
          <w:rFonts w:ascii="Arial Bold" w:hAnsi="Arial Bold"/>
          <w:sz w:val="22"/>
        </w:rPr>
        <w:t xml:space="preserve">. </w:t>
      </w:r>
      <w:r w:rsidR="00B41435" w:rsidRPr="00B41435">
        <w:rPr>
          <w:sz w:val="22"/>
        </w:rPr>
        <w:t>Días de estancia promedio por servicio hospitalario en las variedades del SGB</w:t>
      </w:r>
      <w:r w:rsidR="00E663B7">
        <w:rPr>
          <w:sz w:val="22"/>
        </w:rPr>
        <w:t xml:space="preserve">.  </w:t>
      </w:r>
    </w:p>
    <w:p w14:paraId="68240044" w14:textId="77777777" w:rsidR="00E663B7"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tbl>
      <w:tblPr>
        <w:tblW w:w="0" w:type="auto"/>
        <w:jc w:val="center"/>
        <w:tblBorders>
          <w:top w:val="single" w:sz="8" w:space="0" w:color="000000"/>
          <w:bottom w:val="single" w:sz="8" w:space="0" w:color="000000"/>
        </w:tblBorders>
        <w:tblLook w:val="04A0" w:firstRow="1" w:lastRow="0" w:firstColumn="1" w:lastColumn="0" w:noHBand="0" w:noVBand="1"/>
      </w:tblPr>
      <w:tblGrid>
        <w:gridCol w:w="1526"/>
        <w:gridCol w:w="2268"/>
        <w:gridCol w:w="1276"/>
        <w:gridCol w:w="3644"/>
      </w:tblGrid>
      <w:tr w:rsidR="002A7517" w:rsidRPr="00604A55" w14:paraId="6264DBE8" w14:textId="77777777" w:rsidTr="00BE0672">
        <w:trPr>
          <w:trHeight w:val="682"/>
          <w:jc w:val="center"/>
        </w:trPr>
        <w:tc>
          <w:tcPr>
            <w:tcW w:w="1526" w:type="dxa"/>
            <w:tcBorders>
              <w:top w:val="single" w:sz="8" w:space="0" w:color="000000"/>
              <w:left w:val="nil"/>
              <w:bottom w:val="single" w:sz="8" w:space="0" w:color="000000"/>
              <w:right w:val="nil"/>
            </w:tcBorders>
            <w:vAlign w:val="center"/>
          </w:tcPr>
          <w:p w14:paraId="482B1748" w14:textId="77777777" w:rsidR="002A7517" w:rsidRPr="00834A76" w:rsidRDefault="002A7517" w:rsidP="0036729A">
            <w:pPr>
              <w:jc w:val="center"/>
              <w:rPr>
                <w:rFonts w:cs="Arial"/>
                <w:b/>
                <w:bCs/>
                <w:sz w:val="28"/>
                <w:szCs w:val="28"/>
              </w:rPr>
            </w:pPr>
            <w:r w:rsidRPr="00834A76">
              <w:rPr>
                <w:rFonts w:cs="Arial"/>
                <w:b/>
                <w:bCs/>
                <w:sz w:val="28"/>
                <w:szCs w:val="28"/>
              </w:rPr>
              <w:t>Variedad</w:t>
            </w:r>
          </w:p>
        </w:tc>
        <w:tc>
          <w:tcPr>
            <w:tcW w:w="2268" w:type="dxa"/>
            <w:tcBorders>
              <w:top w:val="single" w:sz="8" w:space="0" w:color="000000"/>
              <w:left w:val="nil"/>
              <w:bottom w:val="single" w:sz="8" w:space="0" w:color="000000"/>
              <w:right w:val="nil"/>
            </w:tcBorders>
            <w:vAlign w:val="center"/>
          </w:tcPr>
          <w:p w14:paraId="3828F22F" w14:textId="77777777" w:rsidR="002A7517" w:rsidRPr="00834A76" w:rsidRDefault="002A7517" w:rsidP="0036729A">
            <w:pPr>
              <w:jc w:val="center"/>
              <w:rPr>
                <w:rFonts w:cs="Arial"/>
                <w:b/>
                <w:bCs/>
                <w:sz w:val="28"/>
                <w:szCs w:val="28"/>
              </w:rPr>
            </w:pPr>
            <w:r w:rsidRPr="00834A76">
              <w:rPr>
                <w:rFonts w:cs="Arial"/>
                <w:b/>
                <w:bCs/>
                <w:sz w:val="28"/>
                <w:szCs w:val="28"/>
              </w:rPr>
              <w:t>Servicio</w:t>
            </w:r>
          </w:p>
        </w:tc>
        <w:tc>
          <w:tcPr>
            <w:tcW w:w="1276" w:type="dxa"/>
            <w:tcBorders>
              <w:top w:val="single" w:sz="8" w:space="0" w:color="000000"/>
              <w:left w:val="nil"/>
              <w:bottom w:val="single" w:sz="8" w:space="0" w:color="000000"/>
              <w:right w:val="nil"/>
            </w:tcBorders>
            <w:vAlign w:val="center"/>
          </w:tcPr>
          <w:p w14:paraId="15DFC46D" w14:textId="77777777" w:rsidR="002A7517" w:rsidRPr="00834A76" w:rsidRDefault="002A7517" w:rsidP="0036729A">
            <w:pPr>
              <w:jc w:val="center"/>
              <w:rPr>
                <w:rFonts w:cs="Arial"/>
                <w:b/>
                <w:bCs/>
                <w:sz w:val="28"/>
                <w:szCs w:val="28"/>
              </w:rPr>
            </w:pPr>
            <w:r w:rsidRPr="00834A76">
              <w:rPr>
                <w:rFonts w:cs="Arial"/>
                <w:b/>
                <w:bCs/>
                <w:sz w:val="28"/>
                <w:szCs w:val="28"/>
              </w:rPr>
              <w:t>n</w:t>
            </w:r>
          </w:p>
        </w:tc>
        <w:tc>
          <w:tcPr>
            <w:tcW w:w="3644" w:type="dxa"/>
            <w:tcBorders>
              <w:top w:val="single" w:sz="8" w:space="0" w:color="000000"/>
              <w:left w:val="nil"/>
              <w:bottom w:val="single" w:sz="8" w:space="0" w:color="000000"/>
              <w:right w:val="nil"/>
            </w:tcBorders>
            <w:vAlign w:val="center"/>
          </w:tcPr>
          <w:p w14:paraId="447F4AC9" w14:textId="77777777" w:rsidR="002A7517" w:rsidRPr="00834A76" w:rsidRDefault="002A7517" w:rsidP="0036729A">
            <w:pPr>
              <w:jc w:val="center"/>
              <w:rPr>
                <w:rFonts w:cs="Arial"/>
                <w:b/>
                <w:bCs/>
                <w:sz w:val="28"/>
                <w:szCs w:val="28"/>
              </w:rPr>
            </w:pPr>
            <w:r w:rsidRPr="00834A76">
              <w:rPr>
                <w:rFonts w:cs="Arial"/>
                <w:b/>
                <w:bCs/>
                <w:sz w:val="28"/>
                <w:szCs w:val="28"/>
              </w:rPr>
              <w:t>Media (mínimo–máximo)</w:t>
            </w:r>
          </w:p>
        </w:tc>
      </w:tr>
      <w:tr w:rsidR="002A7517" w:rsidRPr="00604A55" w14:paraId="78F089C3" w14:textId="77777777" w:rsidTr="00BE0672">
        <w:trPr>
          <w:trHeight w:val="416"/>
          <w:jc w:val="center"/>
        </w:trPr>
        <w:tc>
          <w:tcPr>
            <w:tcW w:w="1526" w:type="dxa"/>
            <w:vMerge w:val="restart"/>
            <w:tcBorders>
              <w:top w:val="single" w:sz="8" w:space="0" w:color="000000"/>
              <w:left w:val="nil"/>
              <w:bottom w:val="nil"/>
              <w:right w:val="nil"/>
            </w:tcBorders>
            <w:shd w:val="clear" w:color="auto" w:fill="auto"/>
            <w:vAlign w:val="center"/>
          </w:tcPr>
          <w:p w14:paraId="525539C8" w14:textId="77777777" w:rsidR="002A7517" w:rsidRPr="00604A55" w:rsidRDefault="002A7517" w:rsidP="007B5C03">
            <w:pPr>
              <w:rPr>
                <w:rFonts w:cs="Arial"/>
                <w:b/>
                <w:bCs/>
              </w:rPr>
            </w:pPr>
          </w:p>
          <w:p w14:paraId="2A969A14" w14:textId="77777777" w:rsidR="002A7517" w:rsidRPr="00604A55" w:rsidRDefault="002A7517" w:rsidP="007B5C03">
            <w:pPr>
              <w:rPr>
                <w:rFonts w:cs="Arial"/>
                <w:b/>
                <w:bCs/>
              </w:rPr>
            </w:pPr>
            <w:r w:rsidRPr="00604A55">
              <w:rPr>
                <w:rFonts w:cs="Arial"/>
                <w:b/>
                <w:bCs/>
              </w:rPr>
              <w:t>AIDP</w:t>
            </w:r>
          </w:p>
        </w:tc>
        <w:tc>
          <w:tcPr>
            <w:tcW w:w="2268" w:type="dxa"/>
            <w:tcBorders>
              <w:top w:val="single" w:sz="8" w:space="0" w:color="000000"/>
              <w:left w:val="nil"/>
              <w:bottom w:val="nil"/>
              <w:right w:val="nil"/>
            </w:tcBorders>
            <w:shd w:val="clear" w:color="auto" w:fill="auto"/>
            <w:vAlign w:val="center"/>
          </w:tcPr>
          <w:p w14:paraId="6EA1C4BC" w14:textId="77777777" w:rsidR="002A7517" w:rsidRPr="00604A55" w:rsidRDefault="002A7517" w:rsidP="0036729A">
            <w:pPr>
              <w:jc w:val="center"/>
              <w:rPr>
                <w:rFonts w:cs="Arial"/>
              </w:rPr>
            </w:pPr>
            <w:r w:rsidRPr="00604A55">
              <w:rPr>
                <w:rFonts w:cs="Arial"/>
              </w:rPr>
              <w:t>UCI</w:t>
            </w:r>
          </w:p>
        </w:tc>
        <w:tc>
          <w:tcPr>
            <w:tcW w:w="1276" w:type="dxa"/>
            <w:tcBorders>
              <w:top w:val="single" w:sz="8" w:space="0" w:color="000000"/>
              <w:left w:val="nil"/>
              <w:bottom w:val="nil"/>
              <w:right w:val="nil"/>
            </w:tcBorders>
            <w:shd w:val="clear" w:color="auto" w:fill="auto"/>
            <w:vAlign w:val="center"/>
          </w:tcPr>
          <w:p w14:paraId="4F054779" w14:textId="77777777" w:rsidR="002A7517" w:rsidRPr="00604A55" w:rsidRDefault="002A7517" w:rsidP="0036729A">
            <w:pPr>
              <w:jc w:val="center"/>
              <w:rPr>
                <w:rFonts w:cs="Arial"/>
              </w:rPr>
            </w:pPr>
            <w:r w:rsidRPr="00604A55">
              <w:rPr>
                <w:rFonts w:cs="Arial"/>
              </w:rPr>
              <w:t>1</w:t>
            </w:r>
          </w:p>
        </w:tc>
        <w:tc>
          <w:tcPr>
            <w:tcW w:w="3644" w:type="dxa"/>
            <w:tcBorders>
              <w:top w:val="single" w:sz="8" w:space="0" w:color="000000"/>
              <w:left w:val="nil"/>
              <w:bottom w:val="nil"/>
              <w:right w:val="nil"/>
            </w:tcBorders>
            <w:shd w:val="clear" w:color="auto" w:fill="auto"/>
            <w:vAlign w:val="center"/>
          </w:tcPr>
          <w:p w14:paraId="1893CB72" w14:textId="77777777" w:rsidR="002A7517" w:rsidRPr="00604A55" w:rsidRDefault="002A7517" w:rsidP="0036729A">
            <w:pPr>
              <w:jc w:val="center"/>
              <w:rPr>
                <w:rFonts w:cs="Arial"/>
              </w:rPr>
            </w:pPr>
            <w:r w:rsidRPr="00604A55">
              <w:rPr>
                <w:rFonts w:cs="Arial"/>
              </w:rPr>
              <w:t>5.0</w:t>
            </w:r>
          </w:p>
        </w:tc>
      </w:tr>
      <w:tr w:rsidR="002A7517" w:rsidRPr="00604A55" w14:paraId="4E1BCBB0" w14:textId="77777777" w:rsidTr="00BE0672">
        <w:trPr>
          <w:trHeight w:val="431"/>
          <w:jc w:val="center"/>
        </w:trPr>
        <w:tc>
          <w:tcPr>
            <w:tcW w:w="1526" w:type="dxa"/>
            <w:vMerge/>
            <w:tcBorders>
              <w:top w:val="nil"/>
              <w:left w:val="nil"/>
              <w:bottom w:val="nil"/>
              <w:right w:val="nil"/>
            </w:tcBorders>
            <w:shd w:val="clear" w:color="auto" w:fill="auto"/>
            <w:vAlign w:val="center"/>
          </w:tcPr>
          <w:p w14:paraId="3EE1E444" w14:textId="77777777" w:rsidR="002A7517" w:rsidRPr="00604A55" w:rsidRDefault="002A7517" w:rsidP="007B5C03">
            <w:pPr>
              <w:rPr>
                <w:rFonts w:cs="Arial"/>
                <w:b/>
                <w:bCs/>
              </w:rPr>
            </w:pPr>
          </w:p>
        </w:tc>
        <w:tc>
          <w:tcPr>
            <w:tcW w:w="2268" w:type="dxa"/>
            <w:tcBorders>
              <w:top w:val="nil"/>
              <w:left w:val="nil"/>
              <w:bottom w:val="nil"/>
              <w:right w:val="nil"/>
            </w:tcBorders>
            <w:shd w:val="clear" w:color="auto" w:fill="auto"/>
            <w:vAlign w:val="center"/>
          </w:tcPr>
          <w:p w14:paraId="7AFEEA3A" w14:textId="77777777" w:rsidR="002A7517" w:rsidRPr="00604A55" w:rsidRDefault="002A7517" w:rsidP="0036729A">
            <w:pPr>
              <w:jc w:val="center"/>
              <w:rPr>
                <w:rFonts w:cs="Arial"/>
              </w:rPr>
            </w:pPr>
            <w:r w:rsidRPr="00604A55">
              <w:rPr>
                <w:rFonts w:cs="Arial"/>
              </w:rPr>
              <w:t>Estancia total</w:t>
            </w:r>
          </w:p>
        </w:tc>
        <w:tc>
          <w:tcPr>
            <w:tcW w:w="1276" w:type="dxa"/>
            <w:tcBorders>
              <w:top w:val="nil"/>
              <w:left w:val="nil"/>
              <w:bottom w:val="nil"/>
              <w:right w:val="nil"/>
            </w:tcBorders>
            <w:shd w:val="clear" w:color="auto" w:fill="auto"/>
            <w:vAlign w:val="center"/>
          </w:tcPr>
          <w:p w14:paraId="206CB7FF" w14:textId="77777777" w:rsidR="002A7517" w:rsidRPr="00604A55" w:rsidRDefault="002A7517" w:rsidP="0036729A">
            <w:pPr>
              <w:jc w:val="center"/>
              <w:rPr>
                <w:rFonts w:cs="Arial"/>
              </w:rPr>
            </w:pPr>
            <w:r w:rsidRPr="00604A55">
              <w:rPr>
                <w:rFonts w:cs="Arial"/>
              </w:rPr>
              <w:t>6</w:t>
            </w:r>
          </w:p>
        </w:tc>
        <w:tc>
          <w:tcPr>
            <w:tcW w:w="3644" w:type="dxa"/>
            <w:tcBorders>
              <w:top w:val="nil"/>
              <w:left w:val="nil"/>
              <w:bottom w:val="nil"/>
              <w:right w:val="nil"/>
            </w:tcBorders>
            <w:shd w:val="clear" w:color="auto" w:fill="auto"/>
            <w:vAlign w:val="center"/>
          </w:tcPr>
          <w:p w14:paraId="05DB6E1C" w14:textId="77777777" w:rsidR="002A7517" w:rsidRPr="00604A55" w:rsidRDefault="002A7517" w:rsidP="0036729A">
            <w:pPr>
              <w:tabs>
                <w:tab w:val="left" w:pos="769"/>
              </w:tabs>
              <w:ind w:left="36"/>
              <w:jc w:val="center"/>
              <w:rPr>
                <w:rFonts w:cs="Arial"/>
              </w:rPr>
            </w:pPr>
            <w:r w:rsidRPr="00604A55">
              <w:rPr>
                <w:rFonts w:cs="Arial"/>
              </w:rPr>
              <w:t>10.7 (7-19)</w:t>
            </w:r>
          </w:p>
        </w:tc>
      </w:tr>
      <w:tr w:rsidR="002A7517" w:rsidRPr="00604A55" w14:paraId="6BFC7AA1" w14:textId="77777777" w:rsidTr="00BE0672">
        <w:trPr>
          <w:trHeight w:val="416"/>
          <w:jc w:val="center"/>
        </w:trPr>
        <w:tc>
          <w:tcPr>
            <w:tcW w:w="1526" w:type="dxa"/>
            <w:vMerge w:val="restart"/>
            <w:tcBorders>
              <w:top w:val="nil"/>
              <w:bottom w:val="nil"/>
            </w:tcBorders>
            <w:shd w:val="clear" w:color="auto" w:fill="auto"/>
            <w:vAlign w:val="center"/>
          </w:tcPr>
          <w:p w14:paraId="1B61FC87" w14:textId="77777777" w:rsidR="002A7517" w:rsidRPr="00604A55" w:rsidRDefault="002A7517" w:rsidP="007B5C03">
            <w:pPr>
              <w:rPr>
                <w:rFonts w:cs="Arial"/>
                <w:b/>
                <w:bCs/>
              </w:rPr>
            </w:pPr>
          </w:p>
          <w:p w14:paraId="19217580" w14:textId="77777777" w:rsidR="002A7517" w:rsidRPr="00604A55" w:rsidRDefault="002A7517" w:rsidP="007B5C03">
            <w:pPr>
              <w:rPr>
                <w:rFonts w:cs="Arial"/>
                <w:b/>
                <w:bCs/>
              </w:rPr>
            </w:pPr>
            <w:r w:rsidRPr="00604A55">
              <w:rPr>
                <w:rFonts w:cs="Arial"/>
                <w:b/>
                <w:bCs/>
              </w:rPr>
              <w:t>AMAN</w:t>
            </w:r>
          </w:p>
        </w:tc>
        <w:tc>
          <w:tcPr>
            <w:tcW w:w="2268" w:type="dxa"/>
            <w:tcBorders>
              <w:top w:val="nil"/>
              <w:bottom w:val="nil"/>
            </w:tcBorders>
            <w:shd w:val="clear" w:color="auto" w:fill="auto"/>
            <w:vAlign w:val="center"/>
          </w:tcPr>
          <w:p w14:paraId="33A57AA7" w14:textId="77777777" w:rsidR="002A7517" w:rsidRPr="00604A55" w:rsidRDefault="002A7517" w:rsidP="0036729A">
            <w:pPr>
              <w:jc w:val="center"/>
              <w:rPr>
                <w:rFonts w:cs="Arial"/>
              </w:rPr>
            </w:pPr>
            <w:r w:rsidRPr="00604A55">
              <w:rPr>
                <w:rFonts w:cs="Arial"/>
              </w:rPr>
              <w:t>UCI</w:t>
            </w:r>
          </w:p>
        </w:tc>
        <w:tc>
          <w:tcPr>
            <w:tcW w:w="1276" w:type="dxa"/>
            <w:tcBorders>
              <w:top w:val="nil"/>
              <w:bottom w:val="nil"/>
            </w:tcBorders>
            <w:shd w:val="clear" w:color="auto" w:fill="auto"/>
            <w:vAlign w:val="center"/>
          </w:tcPr>
          <w:p w14:paraId="6E5F399F" w14:textId="77777777" w:rsidR="002A7517" w:rsidRPr="00604A55" w:rsidRDefault="002A7517" w:rsidP="0036729A">
            <w:pPr>
              <w:jc w:val="center"/>
              <w:rPr>
                <w:rFonts w:cs="Arial"/>
              </w:rPr>
            </w:pPr>
            <w:r w:rsidRPr="00604A55">
              <w:rPr>
                <w:rFonts w:cs="Arial"/>
              </w:rPr>
              <w:t>4</w:t>
            </w:r>
          </w:p>
        </w:tc>
        <w:tc>
          <w:tcPr>
            <w:tcW w:w="3644" w:type="dxa"/>
            <w:tcBorders>
              <w:top w:val="nil"/>
              <w:bottom w:val="nil"/>
            </w:tcBorders>
            <w:shd w:val="clear" w:color="auto" w:fill="auto"/>
            <w:vAlign w:val="center"/>
          </w:tcPr>
          <w:p w14:paraId="56328A9D" w14:textId="77777777" w:rsidR="002A7517" w:rsidRPr="00604A55" w:rsidRDefault="002A7517" w:rsidP="0036729A">
            <w:pPr>
              <w:ind w:left="36"/>
              <w:jc w:val="center"/>
              <w:rPr>
                <w:rFonts w:cs="Arial"/>
              </w:rPr>
            </w:pPr>
            <w:r w:rsidRPr="00604A55">
              <w:rPr>
                <w:rFonts w:cs="Arial"/>
              </w:rPr>
              <w:t>8.0  (2-23)</w:t>
            </w:r>
          </w:p>
        </w:tc>
      </w:tr>
      <w:tr w:rsidR="002A7517" w:rsidRPr="00604A55" w14:paraId="7E8CDEAB" w14:textId="77777777" w:rsidTr="00BE0672">
        <w:trPr>
          <w:trHeight w:val="431"/>
          <w:jc w:val="center"/>
        </w:trPr>
        <w:tc>
          <w:tcPr>
            <w:tcW w:w="1526" w:type="dxa"/>
            <w:vMerge/>
            <w:tcBorders>
              <w:top w:val="nil"/>
              <w:bottom w:val="nil"/>
            </w:tcBorders>
            <w:shd w:val="clear" w:color="auto" w:fill="auto"/>
            <w:vAlign w:val="center"/>
          </w:tcPr>
          <w:p w14:paraId="4FF96B46" w14:textId="77777777" w:rsidR="002A7517" w:rsidRPr="00604A55" w:rsidRDefault="002A7517" w:rsidP="007B5C03">
            <w:pPr>
              <w:rPr>
                <w:rFonts w:cs="Arial"/>
                <w:b/>
                <w:bCs/>
              </w:rPr>
            </w:pPr>
          </w:p>
        </w:tc>
        <w:tc>
          <w:tcPr>
            <w:tcW w:w="2268" w:type="dxa"/>
            <w:tcBorders>
              <w:top w:val="nil"/>
              <w:bottom w:val="nil"/>
            </w:tcBorders>
            <w:shd w:val="clear" w:color="auto" w:fill="auto"/>
            <w:vAlign w:val="center"/>
          </w:tcPr>
          <w:p w14:paraId="2E952EC7" w14:textId="77777777" w:rsidR="002A7517" w:rsidRPr="00604A55" w:rsidRDefault="002A7517" w:rsidP="0036729A">
            <w:pPr>
              <w:jc w:val="center"/>
              <w:rPr>
                <w:rFonts w:cs="Arial"/>
              </w:rPr>
            </w:pPr>
            <w:r w:rsidRPr="00604A55">
              <w:rPr>
                <w:rFonts w:cs="Arial"/>
              </w:rPr>
              <w:t>Estancia total</w:t>
            </w:r>
          </w:p>
        </w:tc>
        <w:tc>
          <w:tcPr>
            <w:tcW w:w="1276" w:type="dxa"/>
            <w:tcBorders>
              <w:top w:val="nil"/>
              <w:bottom w:val="nil"/>
            </w:tcBorders>
            <w:shd w:val="clear" w:color="auto" w:fill="auto"/>
            <w:vAlign w:val="center"/>
          </w:tcPr>
          <w:p w14:paraId="2C3053AC" w14:textId="77777777" w:rsidR="002A7517" w:rsidRPr="00604A55" w:rsidRDefault="002A7517" w:rsidP="0036729A">
            <w:pPr>
              <w:jc w:val="center"/>
              <w:rPr>
                <w:rFonts w:cs="Arial"/>
              </w:rPr>
            </w:pPr>
            <w:r w:rsidRPr="00604A55">
              <w:rPr>
                <w:rFonts w:cs="Arial"/>
              </w:rPr>
              <w:t>6</w:t>
            </w:r>
          </w:p>
        </w:tc>
        <w:tc>
          <w:tcPr>
            <w:tcW w:w="3644" w:type="dxa"/>
            <w:tcBorders>
              <w:top w:val="nil"/>
              <w:bottom w:val="nil"/>
            </w:tcBorders>
            <w:shd w:val="clear" w:color="auto" w:fill="auto"/>
            <w:vAlign w:val="center"/>
          </w:tcPr>
          <w:p w14:paraId="5506BCFB" w14:textId="77777777" w:rsidR="002A7517" w:rsidRPr="00604A55" w:rsidRDefault="002A7517" w:rsidP="0036729A">
            <w:pPr>
              <w:ind w:left="36"/>
              <w:jc w:val="center"/>
              <w:rPr>
                <w:rFonts w:cs="Arial"/>
              </w:rPr>
            </w:pPr>
            <w:r w:rsidRPr="00604A55">
              <w:rPr>
                <w:rFonts w:cs="Arial"/>
              </w:rPr>
              <w:t>20.8 (12-36)</w:t>
            </w:r>
          </w:p>
        </w:tc>
      </w:tr>
      <w:tr w:rsidR="002A7517" w:rsidRPr="00604A55" w14:paraId="72FB1465" w14:textId="77777777" w:rsidTr="00BE0672">
        <w:trPr>
          <w:trHeight w:val="431"/>
          <w:jc w:val="center"/>
        </w:trPr>
        <w:tc>
          <w:tcPr>
            <w:tcW w:w="1526" w:type="dxa"/>
            <w:vMerge w:val="restart"/>
            <w:tcBorders>
              <w:top w:val="nil"/>
              <w:left w:val="nil"/>
              <w:bottom w:val="nil"/>
              <w:right w:val="nil"/>
            </w:tcBorders>
            <w:shd w:val="clear" w:color="auto" w:fill="auto"/>
            <w:vAlign w:val="center"/>
          </w:tcPr>
          <w:p w14:paraId="7D473F20" w14:textId="77777777" w:rsidR="002A7517" w:rsidRPr="00604A55" w:rsidRDefault="002A7517" w:rsidP="007B5C03">
            <w:pPr>
              <w:rPr>
                <w:rFonts w:cs="Arial"/>
                <w:b/>
                <w:bCs/>
              </w:rPr>
            </w:pPr>
          </w:p>
          <w:p w14:paraId="314DBC51" w14:textId="77777777" w:rsidR="002A7517" w:rsidRPr="00604A55" w:rsidRDefault="002A7517" w:rsidP="007B5C03">
            <w:pPr>
              <w:rPr>
                <w:rFonts w:cs="Arial"/>
                <w:b/>
                <w:bCs/>
              </w:rPr>
            </w:pPr>
            <w:r w:rsidRPr="00604A55">
              <w:rPr>
                <w:rFonts w:cs="Arial"/>
                <w:b/>
                <w:bCs/>
              </w:rPr>
              <w:t>AMSAN</w:t>
            </w:r>
          </w:p>
        </w:tc>
        <w:tc>
          <w:tcPr>
            <w:tcW w:w="2268" w:type="dxa"/>
            <w:tcBorders>
              <w:top w:val="nil"/>
              <w:left w:val="nil"/>
              <w:bottom w:val="nil"/>
              <w:right w:val="nil"/>
            </w:tcBorders>
            <w:shd w:val="clear" w:color="auto" w:fill="auto"/>
            <w:vAlign w:val="center"/>
          </w:tcPr>
          <w:p w14:paraId="0E3E357D" w14:textId="77777777" w:rsidR="002A7517" w:rsidRPr="00604A55" w:rsidRDefault="002A7517" w:rsidP="0036729A">
            <w:pPr>
              <w:jc w:val="center"/>
              <w:rPr>
                <w:rFonts w:cs="Arial"/>
              </w:rPr>
            </w:pPr>
            <w:r w:rsidRPr="00604A55">
              <w:rPr>
                <w:rFonts w:cs="Arial"/>
              </w:rPr>
              <w:t>UCI</w:t>
            </w:r>
          </w:p>
        </w:tc>
        <w:tc>
          <w:tcPr>
            <w:tcW w:w="1276" w:type="dxa"/>
            <w:tcBorders>
              <w:top w:val="nil"/>
              <w:left w:val="nil"/>
              <w:bottom w:val="nil"/>
              <w:right w:val="nil"/>
            </w:tcBorders>
            <w:shd w:val="clear" w:color="auto" w:fill="auto"/>
            <w:vAlign w:val="center"/>
          </w:tcPr>
          <w:p w14:paraId="0396A985" w14:textId="77777777" w:rsidR="002A7517" w:rsidRPr="00604A55" w:rsidRDefault="002A7517" w:rsidP="0036729A">
            <w:pPr>
              <w:jc w:val="center"/>
              <w:rPr>
                <w:rFonts w:cs="Arial"/>
              </w:rPr>
            </w:pPr>
            <w:r w:rsidRPr="00604A55">
              <w:rPr>
                <w:rFonts w:cs="Arial"/>
              </w:rPr>
              <w:t>5</w:t>
            </w:r>
          </w:p>
        </w:tc>
        <w:tc>
          <w:tcPr>
            <w:tcW w:w="3644" w:type="dxa"/>
            <w:tcBorders>
              <w:top w:val="nil"/>
              <w:left w:val="nil"/>
              <w:bottom w:val="nil"/>
              <w:right w:val="nil"/>
            </w:tcBorders>
            <w:shd w:val="clear" w:color="auto" w:fill="auto"/>
            <w:vAlign w:val="center"/>
          </w:tcPr>
          <w:p w14:paraId="45F21421" w14:textId="77777777" w:rsidR="002A7517" w:rsidRPr="00604A55" w:rsidRDefault="002A7517" w:rsidP="0036729A">
            <w:pPr>
              <w:ind w:left="36"/>
              <w:jc w:val="center"/>
              <w:rPr>
                <w:rFonts w:cs="Arial"/>
              </w:rPr>
            </w:pPr>
            <w:r w:rsidRPr="00604A55">
              <w:rPr>
                <w:rFonts w:cs="Arial"/>
              </w:rPr>
              <w:t>14.8 (2-35)</w:t>
            </w:r>
          </w:p>
        </w:tc>
      </w:tr>
      <w:tr w:rsidR="002A7517" w:rsidRPr="00604A55" w14:paraId="092B8DD8" w14:textId="77777777" w:rsidTr="00BE0672">
        <w:trPr>
          <w:trHeight w:val="416"/>
          <w:jc w:val="center"/>
        </w:trPr>
        <w:tc>
          <w:tcPr>
            <w:tcW w:w="1526" w:type="dxa"/>
            <w:vMerge/>
            <w:tcBorders>
              <w:top w:val="nil"/>
              <w:left w:val="nil"/>
              <w:bottom w:val="nil"/>
              <w:right w:val="nil"/>
            </w:tcBorders>
            <w:shd w:val="clear" w:color="auto" w:fill="auto"/>
            <w:vAlign w:val="center"/>
          </w:tcPr>
          <w:p w14:paraId="254A61CD" w14:textId="77777777" w:rsidR="002A7517" w:rsidRPr="00604A55" w:rsidRDefault="002A7517" w:rsidP="007B5C03">
            <w:pPr>
              <w:rPr>
                <w:rFonts w:cs="Arial"/>
                <w:b/>
                <w:bCs/>
              </w:rPr>
            </w:pPr>
          </w:p>
        </w:tc>
        <w:tc>
          <w:tcPr>
            <w:tcW w:w="2268" w:type="dxa"/>
            <w:tcBorders>
              <w:top w:val="nil"/>
              <w:left w:val="nil"/>
              <w:bottom w:val="nil"/>
              <w:right w:val="nil"/>
            </w:tcBorders>
            <w:shd w:val="clear" w:color="auto" w:fill="auto"/>
            <w:vAlign w:val="center"/>
          </w:tcPr>
          <w:p w14:paraId="3196B9BC" w14:textId="77777777" w:rsidR="002A7517" w:rsidRPr="00604A55" w:rsidRDefault="002A7517" w:rsidP="0036729A">
            <w:pPr>
              <w:jc w:val="center"/>
              <w:rPr>
                <w:rFonts w:cs="Arial"/>
              </w:rPr>
            </w:pPr>
            <w:r w:rsidRPr="00604A55">
              <w:rPr>
                <w:rFonts w:cs="Arial"/>
              </w:rPr>
              <w:t>Estancia total</w:t>
            </w:r>
          </w:p>
        </w:tc>
        <w:tc>
          <w:tcPr>
            <w:tcW w:w="1276" w:type="dxa"/>
            <w:tcBorders>
              <w:top w:val="nil"/>
              <w:left w:val="nil"/>
              <w:bottom w:val="nil"/>
              <w:right w:val="nil"/>
            </w:tcBorders>
            <w:shd w:val="clear" w:color="auto" w:fill="auto"/>
            <w:vAlign w:val="center"/>
          </w:tcPr>
          <w:p w14:paraId="7E6026FA" w14:textId="77777777" w:rsidR="002A7517" w:rsidRPr="00604A55" w:rsidRDefault="002A7517" w:rsidP="0036729A">
            <w:pPr>
              <w:jc w:val="center"/>
              <w:rPr>
                <w:rFonts w:cs="Arial"/>
              </w:rPr>
            </w:pPr>
            <w:r w:rsidRPr="00604A55">
              <w:rPr>
                <w:rFonts w:cs="Arial"/>
              </w:rPr>
              <w:t>9</w:t>
            </w:r>
          </w:p>
        </w:tc>
        <w:tc>
          <w:tcPr>
            <w:tcW w:w="3644" w:type="dxa"/>
            <w:tcBorders>
              <w:top w:val="nil"/>
              <w:left w:val="nil"/>
              <w:bottom w:val="nil"/>
              <w:right w:val="nil"/>
            </w:tcBorders>
            <w:shd w:val="clear" w:color="auto" w:fill="auto"/>
            <w:vAlign w:val="center"/>
          </w:tcPr>
          <w:p w14:paraId="49C4422D" w14:textId="77777777" w:rsidR="002A7517" w:rsidRPr="00604A55" w:rsidRDefault="002A7517" w:rsidP="0036729A">
            <w:pPr>
              <w:ind w:left="36"/>
              <w:jc w:val="center"/>
              <w:rPr>
                <w:rFonts w:cs="Arial"/>
              </w:rPr>
            </w:pPr>
            <w:r w:rsidRPr="00604A55">
              <w:rPr>
                <w:rFonts w:cs="Arial"/>
              </w:rPr>
              <w:t>23.8 (9-69)</w:t>
            </w:r>
          </w:p>
        </w:tc>
      </w:tr>
      <w:tr w:rsidR="002A7517" w:rsidRPr="00604A55" w14:paraId="7F8262DD" w14:textId="77777777" w:rsidTr="00BE0672">
        <w:trPr>
          <w:trHeight w:val="829"/>
          <w:jc w:val="center"/>
        </w:trPr>
        <w:tc>
          <w:tcPr>
            <w:tcW w:w="1526" w:type="dxa"/>
            <w:tcBorders>
              <w:top w:val="nil"/>
            </w:tcBorders>
            <w:vAlign w:val="center"/>
          </w:tcPr>
          <w:p w14:paraId="66ED549C" w14:textId="77777777" w:rsidR="002A7517" w:rsidRPr="00604A55" w:rsidRDefault="002A7517" w:rsidP="007B5C03">
            <w:pPr>
              <w:rPr>
                <w:rFonts w:cs="Arial"/>
                <w:b/>
                <w:bCs/>
              </w:rPr>
            </w:pPr>
            <w:r w:rsidRPr="00604A55">
              <w:rPr>
                <w:rFonts w:cs="Arial"/>
                <w:b/>
                <w:bCs/>
              </w:rPr>
              <w:t>SMF</w:t>
            </w:r>
          </w:p>
        </w:tc>
        <w:tc>
          <w:tcPr>
            <w:tcW w:w="2268" w:type="dxa"/>
            <w:tcBorders>
              <w:top w:val="nil"/>
            </w:tcBorders>
            <w:vAlign w:val="center"/>
          </w:tcPr>
          <w:p w14:paraId="39D3C6E7" w14:textId="77777777" w:rsidR="002A7517" w:rsidRPr="00604A55" w:rsidRDefault="002A7517" w:rsidP="0036729A">
            <w:pPr>
              <w:jc w:val="center"/>
              <w:rPr>
                <w:rFonts w:cs="Arial"/>
              </w:rPr>
            </w:pPr>
            <w:r w:rsidRPr="00604A55">
              <w:rPr>
                <w:rFonts w:cs="Arial"/>
              </w:rPr>
              <w:t>Estancia total</w:t>
            </w:r>
          </w:p>
        </w:tc>
        <w:tc>
          <w:tcPr>
            <w:tcW w:w="1276" w:type="dxa"/>
            <w:tcBorders>
              <w:top w:val="nil"/>
            </w:tcBorders>
            <w:vAlign w:val="center"/>
          </w:tcPr>
          <w:p w14:paraId="0C826AC8" w14:textId="77777777" w:rsidR="002A7517" w:rsidRPr="00604A55" w:rsidRDefault="002A7517" w:rsidP="0036729A">
            <w:pPr>
              <w:jc w:val="center"/>
              <w:rPr>
                <w:rFonts w:cs="Arial"/>
              </w:rPr>
            </w:pPr>
            <w:r w:rsidRPr="00604A55">
              <w:rPr>
                <w:rFonts w:cs="Arial"/>
              </w:rPr>
              <w:t>2</w:t>
            </w:r>
          </w:p>
        </w:tc>
        <w:tc>
          <w:tcPr>
            <w:tcW w:w="3644" w:type="dxa"/>
            <w:tcBorders>
              <w:top w:val="nil"/>
            </w:tcBorders>
            <w:vAlign w:val="center"/>
          </w:tcPr>
          <w:p w14:paraId="02472C7D" w14:textId="77777777" w:rsidR="002A7517" w:rsidRPr="00604A55" w:rsidRDefault="002A7517" w:rsidP="0036729A">
            <w:pPr>
              <w:ind w:left="36"/>
              <w:jc w:val="center"/>
              <w:rPr>
                <w:rFonts w:cs="Arial"/>
              </w:rPr>
            </w:pPr>
            <w:r w:rsidRPr="00604A55">
              <w:rPr>
                <w:rFonts w:cs="Arial"/>
              </w:rPr>
              <w:t>11.5 (10-13)</w:t>
            </w:r>
          </w:p>
        </w:tc>
      </w:tr>
    </w:tbl>
    <w:p w14:paraId="4817C5FA" w14:textId="77777777" w:rsidR="000D0946" w:rsidRDefault="000D09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5312E4CE" w14:textId="77777777" w:rsidR="002A7517" w:rsidRDefault="002A75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16E09CA3" w14:textId="77777777" w:rsidR="002A7517" w:rsidRDefault="002A75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41E5DEF9" w14:textId="77777777" w:rsidR="002A7517" w:rsidRDefault="002A75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2AA7D46B" w14:textId="77777777" w:rsidR="002A7517" w:rsidRDefault="002A75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038CDE2C" w14:textId="77777777" w:rsidR="002A7517" w:rsidRDefault="002A75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4E33F488" w14:textId="77777777" w:rsidR="002A7517" w:rsidRDefault="002A75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3A38E83D" w14:textId="77777777" w:rsidR="002A7517" w:rsidRDefault="002A75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3432360A" w14:textId="77777777" w:rsidR="002A7517" w:rsidRDefault="002A75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054FFB39" w14:textId="77777777" w:rsidR="002A7517" w:rsidRDefault="002A75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68656829" w14:textId="77777777" w:rsidR="002A7517" w:rsidRDefault="002A75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1559DE6A" w14:textId="77777777" w:rsidR="002A7517" w:rsidRDefault="002A75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33B6431A" w14:textId="77777777" w:rsidR="002A7517" w:rsidRDefault="002A75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723917EE" w14:textId="77777777" w:rsidR="002A7517" w:rsidRDefault="002A75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1357FD59" w14:textId="77777777" w:rsidR="00E663B7"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319F0AC9" w14:textId="77777777" w:rsidR="00E663B7"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25157D91" w14:textId="4D3170AA" w:rsidR="00BE0672" w:rsidRDefault="00BE0672">
      <w:pPr>
        <w:rPr>
          <w:rFonts w:ascii="Arial Bold" w:hAnsi="Arial Bold"/>
          <w:sz w:val="22"/>
        </w:rPr>
      </w:pPr>
    </w:p>
    <w:p w14:paraId="0160F7F5" w14:textId="7D096061" w:rsidR="00F92665" w:rsidRDefault="00F92665" w:rsidP="00F926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rFonts w:ascii="Arial Bold" w:hAnsi="Arial Bold"/>
          <w:sz w:val="22"/>
        </w:rPr>
      </w:pPr>
      <w:r>
        <w:rPr>
          <w:rFonts w:ascii="Arial Bold" w:hAnsi="Arial Bold"/>
          <w:sz w:val="22"/>
        </w:rPr>
        <w:t>[</w:t>
      </w:r>
      <w:r w:rsidR="007B5C03">
        <w:rPr>
          <w:rFonts w:ascii="Arial Bold" w:hAnsi="Arial Bold"/>
          <w:sz w:val="22"/>
        </w:rPr>
        <w:t>FIGURAS</w:t>
      </w:r>
      <w:r>
        <w:rPr>
          <w:rFonts w:ascii="Arial Bold" w:hAnsi="Arial Bold"/>
          <w:sz w:val="22"/>
        </w:rPr>
        <w:t>]</w:t>
      </w:r>
    </w:p>
    <w:p w14:paraId="07B5C75F" w14:textId="77777777" w:rsidR="00F92665" w:rsidRDefault="00F92665" w:rsidP="00F926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rFonts w:ascii="Arial Bold" w:hAnsi="Arial Bold"/>
          <w:sz w:val="22"/>
        </w:rPr>
      </w:pPr>
    </w:p>
    <w:p w14:paraId="3D6D977D" w14:textId="7C7EBC94" w:rsidR="00E663B7"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r>
        <w:rPr>
          <w:rFonts w:ascii="Arial Bold" w:hAnsi="Arial Bold"/>
          <w:sz w:val="22"/>
        </w:rPr>
        <w:t xml:space="preserve">Figura 1. </w:t>
      </w:r>
      <w:r w:rsidR="00225390">
        <w:rPr>
          <w:sz w:val="22"/>
        </w:rPr>
        <w:t>Características de</w:t>
      </w:r>
      <w:r w:rsidR="00057441">
        <w:rPr>
          <w:sz w:val="22"/>
        </w:rPr>
        <w:t xml:space="preserve"> la presentación clínica de los pacientes con SGB</w:t>
      </w:r>
      <w:r w:rsidR="003E1ADD">
        <w:rPr>
          <w:sz w:val="22"/>
        </w:rPr>
        <w:t xml:space="preserve"> (n = 25)</w:t>
      </w:r>
      <w:r>
        <w:rPr>
          <w:sz w:val="22"/>
        </w:rPr>
        <w:t xml:space="preserve">.  </w:t>
      </w:r>
    </w:p>
    <w:p w14:paraId="3059616A" w14:textId="77777777" w:rsidR="00E663B7"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6FFAF287" w14:textId="77777777" w:rsidR="007D229B" w:rsidRDefault="007D22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093708C7" w14:textId="77777777" w:rsidR="00E663B7" w:rsidRDefault="00B726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r>
        <w:rPr>
          <w:noProof/>
          <w:sz w:val="22"/>
          <w:lang w:val="es-ES" w:eastAsia="es-ES"/>
        </w:rPr>
        <w:drawing>
          <wp:inline distT="0" distB="0" distL="0" distR="0" wp14:anchorId="5C6E8890" wp14:editId="1779DBB3">
            <wp:extent cx="6162040" cy="2715895"/>
            <wp:effectExtent l="19050" t="0" r="0" b="0"/>
            <wp:docPr id="1" name="Imagen 1" descr="Figu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a 1"/>
                    <pic:cNvPicPr>
                      <a:picLocks noChangeAspect="1" noChangeArrowheads="1"/>
                    </pic:cNvPicPr>
                  </pic:nvPicPr>
                  <pic:blipFill>
                    <a:blip r:embed="rId8"/>
                    <a:srcRect/>
                    <a:stretch>
                      <a:fillRect/>
                    </a:stretch>
                  </pic:blipFill>
                  <pic:spPr bwMode="auto">
                    <a:xfrm>
                      <a:off x="0" y="0"/>
                      <a:ext cx="6162040" cy="2715895"/>
                    </a:xfrm>
                    <a:prstGeom prst="rect">
                      <a:avLst/>
                    </a:prstGeom>
                    <a:noFill/>
                    <a:ln w="9525">
                      <a:noFill/>
                      <a:miter lim="800000"/>
                      <a:headEnd/>
                      <a:tailEnd/>
                    </a:ln>
                  </pic:spPr>
                </pic:pic>
              </a:graphicData>
            </a:graphic>
          </wp:inline>
        </w:drawing>
      </w:r>
    </w:p>
    <w:p w14:paraId="1F5864C8" w14:textId="77777777" w:rsidR="00E663B7"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1D1EFFC3" w14:textId="77777777" w:rsidR="007D229B" w:rsidRDefault="007D22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49468AAB" w14:textId="77777777" w:rsidR="007D229B" w:rsidRDefault="007D22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3242B01E" w14:textId="77777777" w:rsidR="007D229B" w:rsidRDefault="007D22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436B3B40" w14:textId="77777777" w:rsidR="007D229B" w:rsidRDefault="007D22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03CCE39D" w14:textId="77777777" w:rsidR="007D229B" w:rsidRDefault="007D22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6644BDF2" w14:textId="77777777" w:rsidR="007D229B" w:rsidRDefault="007D22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7637EACA" w14:textId="77777777" w:rsidR="007D229B" w:rsidRDefault="007D22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5A374D94" w14:textId="77777777" w:rsidR="007D229B" w:rsidRDefault="007D22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16A80CE5" w14:textId="77777777" w:rsidR="007D229B" w:rsidRDefault="007D22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480376C5" w14:textId="77777777" w:rsidR="007D229B" w:rsidRDefault="007D22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47F04BA4" w14:textId="77777777" w:rsidR="007D229B" w:rsidRDefault="007D22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1D025BB4" w14:textId="77777777" w:rsidR="00BE0672" w:rsidRDefault="00BE0672">
      <w:pPr>
        <w:rPr>
          <w:sz w:val="22"/>
        </w:rPr>
      </w:pPr>
      <w:r>
        <w:rPr>
          <w:sz w:val="22"/>
        </w:rPr>
        <w:br w:type="page"/>
      </w:r>
    </w:p>
    <w:p w14:paraId="049C24C1" w14:textId="07993E94" w:rsidR="00F85ABC" w:rsidRDefault="00F85ABC" w:rsidP="00F85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r>
        <w:rPr>
          <w:rFonts w:ascii="Arial Bold" w:hAnsi="Arial Bold"/>
          <w:sz w:val="22"/>
        </w:rPr>
        <w:lastRenderedPageBreak/>
        <w:t xml:space="preserve">Figura 2. </w:t>
      </w:r>
      <w:r>
        <w:rPr>
          <w:sz w:val="22"/>
        </w:rPr>
        <w:t xml:space="preserve">Distribución de </w:t>
      </w:r>
      <w:r w:rsidR="006C166C">
        <w:rPr>
          <w:sz w:val="22"/>
        </w:rPr>
        <w:t xml:space="preserve">las variantes del SGB de acuerdo a la estación </w:t>
      </w:r>
      <w:r w:rsidR="006E782F">
        <w:rPr>
          <w:sz w:val="22"/>
        </w:rPr>
        <w:t>del año en que se presentaron</w:t>
      </w:r>
      <w:r>
        <w:rPr>
          <w:sz w:val="22"/>
        </w:rPr>
        <w:t xml:space="preserve">.  </w:t>
      </w:r>
    </w:p>
    <w:p w14:paraId="753AA653" w14:textId="77777777" w:rsidR="00E663B7"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660BB06A" w14:textId="77777777" w:rsidR="00F85ABC" w:rsidRDefault="00B726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r>
        <w:rPr>
          <w:noProof/>
          <w:sz w:val="22"/>
          <w:lang w:val="es-ES" w:eastAsia="es-ES"/>
        </w:rPr>
        <w:drawing>
          <wp:inline distT="0" distB="0" distL="0" distR="0" wp14:anchorId="38EE1E45" wp14:editId="220C1868">
            <wp:extent cx="5384165" cy="3132455"/>
            <wp:effectExtent l="19050" t="0" r="6985" b="0"/>
            <wp:docPr id="2" name="Imagen 2" descr="Figu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a 2"/>
                    <pic:cNvPicPr>
                      <a:picLocks noChangeAspect="1" noChangeArrowheads="1"/>
                    </pic:cNvPicPr>
                  </pic:nvPicPr>
                  <pic:blipFill>
                    <a:blip r:embed="rId9"/>
                    <a:srcRect/>
                    <a:stretch>
                      <a:fillRect/>
                    </a:stretch>
                  </pic:blipFill>
                  <pic:spPr bwMode="auto">
                    <a:xfrm>
                      <a:off x="0" y="0"/>
                      <a:ext cx="5384165" cy="3132455"/>
                    </a:xfrm>
                    <a:prstGeom prst="rect">
                      <a:avLst/>
                    </a:prstGeom>
                    <a:noFill/>
                    <a:ln w="9525">
                      <a:noFill/>
                      <a:miter lim="800000"/>
                      <a:headEnd/>
                      <a:tailEnd/>
                    </a:ln>
                  </pic:spPr>
                </pic:pic>
              </a:graphicData>
            </a:graphic>
          </wp:inline>
        </w:drawing>
      </w:r>
    </w:p>
    <w:p w14:paraId="697BD2DC" w14:textId="77777777" w:rsidR="007D229B" w:rsidRDefault="007D229B" w:rsidP="00F85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rPr>
      </w:pPr>
    </w:p>
    <w:p w14:paraId="4E552188" w14:textId="77777777" w:rsidR="007D229B" w:rsidRDefault="007D229B" w:rsidP="00F85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rPr>
      </w:pPr>
    </w:p>
    <w:p w14:paraId="32F42F8E" w14:textId="77777777" w:rsidR="007D229B" w:rsidRDefault="007D229B" w:rsidP="00F85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rPr>
      </w:pPr>
    </w:p>
    <w:p w14:paraId="5CD1298F" w14:textId="77777777" w:rsidR="007D229B" w:rsidRDefault="007D229B" w:rsidP="00F85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rPr>
      </w:pPr>
    </w:p>
    <w:p w14:paraId="5F343E05" w14:textId="77777777" w:rsidR="007D229B" w:rsidRDefault="007D229B" w:rsidP="00F85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rPr>
      </w:pPr>
    </w:p>
    <w:p w14:paraId="723C354F" w14:textId="77777777" w:rsidR="007D229B" w:rsidRDefault="007D229B" w:rsidP="00F85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rPr>
      </w:pPr>
    </w:p>
    <w:p w14:paraId="0AD5FC55" w14:textId="77777777" w:rsidR="007D229B" w:rsidRDefault="007D229B" w:rsidP="00F85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rPr>
      </w:pPr>
    </w:p>
    <w:p w14:paraId="4E3DFA42" w14:textId="77777777" w:rsidR="007D229B" w:rsidRDefault="007D229B" w:rsidP="00F85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rPr>
      </w:pPr>
    </w:p>
    <w:p w14:paraId="3AB6845A" w14:textId="77777777" w:rsidR="007D229B" w:rsidRDefault="007D229B" w:rsidP="00F85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rPr>
      </w:pPr>
    </w:p>
    <w:p w14:paraId="07004A63" w14:textId="77777777" w:rsidR="007D229B" w:rsidRDefault="007D229B" w:rsidP="00F85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rPr>
      </w:pPr>
    </w:p>
    <w:p w14:paraId="49D6AF64" w14:textId="77777777" w:rsidR="00BE0672" w:rsidRDefault="00BE0672">
      <w:pPr>
        <w:rPr>
          <w:rFonts w:ascii="Arial Bold" w:hAnsi="Arial Bold"/>
          <w:sz w:val="22"/>
        </w:rPr>
      </w:pPr>
      <w:r>
        <w:rPr>
          <w:rFonts w:ascii="Arial Bold" w:hAnsi="Arial Bold"/>
          <w:sz w:val="22"/>
        </w:rPr>
        <w:br w:type="page"/>
      </w:r>
    </w:p>
    <w:p w14:paraId="55EC98F5" w14:textId="7E84DB1C" w:rsidR="00F85ABC" w:rsidRDefault="00F85ABC" w:rsidP="00F85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r>
        <w:rPr>
          <w:rFonts w:ascii="Arial Bold" w:hAnsi="Arial Bold"/>
          <w:sz w:val="22"/>
        </w:rPr>
        <w:lastRenderedPageBreak/>
        <w:t xml:space="preserve">Figura 3. </w:t>
      </w:r>
      <w:r w:rsidR="003B7254">
        <w:rPr>
          <w:sz w:val="22"/>
        </w:rPr>
        <w:t>Estancia hospitalaria en relació</w:t>
      </w:r>
      <w:r w:rsidR="0009191E">
        <w:rPr>
          <w:sz w:val="22"/>
        </w:rPr>
        <w:t>n a las variantes electrofisiológicas del SGB (</w:t>
      </w:r>
      <w:r w:rsidR="0009191E" w:rsidRPr="004C5E48">
        <w:rPr>
          <w:i/>
          <w:sz w:val="22"/>
        </w:rPr>
        <w:t>A</w:t>
      </w:r>
      <w:r w:rsidR="0009191E">
        <w:rPr>
          <w:sz w:val="22"/>
        </w:rPr>
        <w:t>) y al puntaje en la escala de discapacidad funcional (Winer y Hughes) alcanzada por los pacientes (</w:t>
      </w:r>
      <w:r w:rsidR="0009191E" w:rsidRPr="004C5E48">
        <w:rPr>
          <w:i/>
          <w:sz w:val="22"/>
        </w:rPr>
        <w:t>B</w:t>
      </w:r>
      <w:r w:rsidR="0009191E">
        <w:rPr>
          <w:sz w:val="22"/>
        </w:rPr>
        <w:t>)</w:t>
      </w:r>
      <w:r>
        <w:rPr>
          <w:sz w:val="22"/>
        </w:rPr>
        <w:t xml:space="preserve">.  </w:t>
      </w:r>
    </w:p>
    <w:p w14:paraId="70B4CBC3" w14:textId="77777777" w:rsidR="00F85ABC" w:rsidRDefault="00F85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62F9F318" w14:textId="77777777" w:rsidR="007D229B" w:rsidRDefault="007D22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29EFD848" w14:textId="77777777" w:rsidR="007D229B" w:rsidRDefault="00B726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r>
        <w:rPr>
          <w:noProof/>
          <w:sz w:val="22"/>
          <w:lang w:val="es-ES" w:eastAsia="es-ES"/>
        </w:rPr>
        <w:drawing>
          <wp:inline distT="0" distB="0" distL="0" distR="0" wp14:anchorId="4511115E" wp14:editId="3AD416D8">
            <wp:extent cx="6196330" cy="2238375"/>
            <wp:effectExtent l="19050" t="0" r="0" b="9525"/>
            <wp:docPr id="3" name="Imagen 3" descr="Figu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a 3"/>
                    <pic:cNvPicPr>
                      <a:picLocks noChangeAspect="1" noChangeArrowheads="1"/>
                    </pic:cNvPicPr>
                  </pic:nvPicPr>
                  <pic:blipFill>
                    <a:blip r:embed="rId10"/>
                    <a:srcRect/>
                    <a:stretch>
                      <a:fillRect/>
                    </a:stretch>
                  </pic:blipFill>
                  <pic:spPr bwMode="auto">
                    <a:xfrm>
                      <a:off x="0" y="0"/>
                      <a:ext cx="6196330" cy="2238375"/>
                    </a:xfrm>
                    <a:prstGeom prst="rect">
                      <a:avLst/>
                    </a:prstGeom>
                    <a:noFill/>
                    <a:ln w="9525">
                      <a:noFill/>
                      <a:miter lim="800000"/>
                      <a:headEnd/>
                      <a:tailEnd/>
                    </a:ln>
                  </pic:spPr>
                </pic:pic>
              </a:graphicData>
            </a:graphic>
          </wp:inline>
        </w:drawing>
      </w:r>
    </w:p>
    <w:p w14:paraId="7148FF98" w14:textId="77777777" w:rsidR="00F85ABC" w:rsidRDefault="00F85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18826853" w14:textId="77777777" w:rsidR="007D229B" w:rsidRDefault="007D229B" w:rsidP="00F85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rPr>
      </w:pPr>
    </w:p>
    <w:p w14:paraId="5DE9069A" w14:textId="77777777" w:rsidR="007D229B" w:rsidRDefault="007D229B" w:rsidP="00F85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rPr>
      </w:pPr>
    </w:p>
    <w:p w14:paraId="4FAF229A" w14:textId="77777777" w:rsidR="007D229B" w:rsidRDefault="007D229B" w:rsidP="00F85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rPr>
      </w:pPr>
    </w:p>
    <w:p w14:paraId="0CCF53ED" w14:textId="77777777" w:rsidR="007D229B" w:rsidRDefault="007D229B" w:rsidP="00F85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rPr>
      </w:pPr>
    </w:p>
    <w:p w14:paraId="08D366BF" w14:textId="77777777" w:rsidR="007D229B" w:rsidRDefault="007D229B" w:rsidP="00F85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rPr>
      </w:pPr>
    </w:p>
    <w:p w14:paraId="311950FB" w14:textId="77777777" w:rsidR="007D229B" w:rsidRDefault="007D229B" w:rsidP="00F85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rPr>
      </w:pPr>
    </w:p>
    <w:p w14:paraId="33446B60" w14:textId="77777777" w:rsidR="007D229B" w:rsidRDefault="007D229B" w:rsidP="00F85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rPr>
      </w:pPr>
    </w:p>
    <w:p w14:paraId="62D81292" w14:textId="77777777" w:rsidR="007D229B" w:rsidRDefault="007D229B" w:rsidP="00F85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rPr>
      </w:pPr>
    </w:p>
    <w:p w14:paraId="164D5CEF" w14:textId="77777777" w:rsidR="007D229B" w:rsidRDefault="007D229B" w:rsidP="00F85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Bold" w:hAnsi="Arial Bold"/>
          <w:sz w:val="22"/>
        </w:rPr>
      </w:pPr>
    </w:p>
    <w:p w14:paraId="20D5DB5D" w14:textId="77777777" w:rsidR="00BE0672" w:rsidRDefault="00BE0672">
      <w:pPr>
        <w:rPr>
          <w:rFonts w:ascii="Arial Bold" w:hAnsi="Arial Bold"/>
          <w:sz w:val="22"/>
        </w:rPr>
      </w:pPr>
      <w:r>
        <w:rPr>
          <w:rFonts w:ascii="Arial Bold" w:hAnsi="Arial Bold"/>
          <w:sz w:val="22"/>
        </w:rPr>
        <w:br w:type="page"/>
      </w:r>
    </w:p>
    <w:p w14:paraId="7BA4BA24" w14:textId="4C1370A9" w:rsidR="00F85ABC" w:rsidRDefault="00F85ABC" w:rsidP="00F85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r>
        <w:rPr>
          <w:rFonts w:ascii="Arial Bold" w:hAnsi="Arial Bold"/>
          <w:sz w:val="22"/>
        </w:rPr>
        <w:lastRenderedPageBreak/>
        <w:t xml:space="preserve">Figura 4. </w:t>
      </w:r>
      <w:r w:rsidR="00CF5BCE">
        <w:rPr>
          <w:sz w:val="22"/>
        </w:rPr>
        <w:t xml:space="preserve">Análisis actuariales de Kaplan-Meier que muestran </w:t>
      </w:r>
      <w:r w:rsidR="00D65FD6">
        <w:rPr>
          <w:sz w:val="22"/>
        </w:rPr>
        <w:t>la probabilidad de alcanzar un puntaje en la escala de discapacidad funcional (Winer y Hughes)</w:t>
      </w:r>
      <w:r w:rsidR="00E4606C">
        <w:rPr>
          <w:sz w:val="22"/>
        </w:rPr>
        <w:t xml:space="preserve"> &gt;2 de acuerdo al género (</w:t>
      </w:r>
      <w:r w:rsidR="00E4606C" w:rsidRPr="00252399">
        <w:rPr>
          <w:i/>
          <w:sz w:val="22"/>
        </w:rPr>
        <w:t>A</w:t>
      </w:r>
      <w:r w:rsidR="00E4606C">
        <w:rPr>
          <w:sz w:val="22"/>
        </w:rPr>
        <w:t>), la edad</w:t>
      </w:r>
      <w:r w:rsidR="006542BB">
        <w:rPr>
          <w:sz w:val="22"/>
        </w:rPr>
        <w:t xml:space="preserve"> con el punto de corte de 40 años (</w:t>
      </w:r>
      <w:r w:rsidR="006542BB" w:rsidRPr="00252399">
        <w:rPr>
          <w:i/>
          <w:sz w:val="22"/>
        </w:rPr>
        <w:t>B</w:t>
      </w:r>
      <w:r w:rsidR="006542BB">
        <w:rPr>
          <w:sz w:val="22"/>
        </w:rPr>
        <w:t>)</w:t>
      </w:r>
      <w:r w:rsidR="00CE47AB">
        <w:rPr>
          <w:sz w:val="22"/>
        </w:rPr>
        <w:t>, el antecedente de infección (</w:t>
      </w:r>
      <w:r w:rsidR="00CE47AB" w:rsidRPr="00252399">
        <w:rPr>
          <w:i/>
          <w:sz w:val="22"/>
        </w:rPr>
        <w:t>C</w:t>
      </w:r>
      <w:r w:rsidR="00CE47AB">
        <w:rPr>
          <w:sz w:val="22"/>
        </w:rPr>
        <w:t>) y la estación del año en que se presentaron los casos (</w:t>
      </w:r>
      <w:r w:rsidR="00CE47AB" w:rsidRPr="00252399">
        <w:rPr>
          <w:i/>
          <w:sz w:val="22"/>
        </w:rPr>
        <w:t>D</w:t>
      </w:r>
      <w:r w:rsidR="00CE47AB">
        <w:rPr>
          <w:sz w:val="22"/>
        </w:rPr>
        <w:t>)</w:t>
      </w:r>
      <w:r>
        <w:rPr>
          <w:sz w:val="22"/>
        </w:rPr>
        <w:t xml:space="preserve">.  </w:t>
      </w:r>
    </w:p>
    <w:p w14:paraId="7985EDB0" w14:textId="77777777" w:rsidR="00F85ABC" w:rsidRDefault="00F85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21FC6775" w14:textId="77777777" w:rsidR="00F85ABC" w:rsidRDefault="00F85A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6B19CA58" w14:textId="77777777" w:rsidR="00E663B7" w:rsidRDefault="00B726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r>
        <w:rPr>
          <w:noProof/>
          <w:sz w:val="22"/>
          <w:lang w:val="es-ES" w:eastAsia="es-ES"/>
        </w:rPr>
        <w:drawing>
          <wp:inline distT="0" distB="0" distL="0" distR="0" wp14:anchorId="757D322F" wp14:editId="5EFB2D7C">
            <wp:extent cx="5384165" cy="4572000"/>
            <wp:effectExtent l="19050" t="0" r="6985" b="0"/>
            <wp:docPr id="4" name="Imagen 4" descr="Figu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a 4"/>
                    <pic:cNvPicPr>
                      <a:picLocks noChangeAspect="1" noChangeArrowheads="1"/>
                    </pic:cNvPicPr>
                  </pic:nvPicPr>
                  <pic:blipFill>
                    <a:blip r:embed="rId11"/>
                    <a:srcRect/>
                    <a:stretch>
                      <a:fillRect/>
                    </a:stretch>
                  </pic:blipFill>
                  <pic:spPr bwMode="auto">
                    <a:xfrm>
                      <a:off x="0" y="0"/>
                      <a:ext cx="5384165" cy="4572000"/>
                    </a:xfrm>
                    <a:prstGeom prst="rect">
                      <a:avLst/>
                    </a:prstGeom>
                    <a:noFill/>
                    <a:ln w="9525">
                      <a:noFill/>
                      <a:miter lim="800000"/>
                      <a:headEnd/>
                      <a:tailEnd/>
                    </a:ln>
                  </pic:spPr>
                </pic:pic>
              </a:graphicData>
            </a:graphic>
          </wp:inline>
        </w:drawing>
      </w:r>
    </w:p>
    <w:p w14:paraId="57747FD0" w14:textId="77777777" w:rsidR="00E663B7"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2B58337E" w14:textId="77777777" w:rsidR="00E663B7"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2"/>
        </w:rPr>
      </w:pPr>
    </w:p>
    <w:p w14:paraId="71BC35F2" w14:textId="77777777" w:rsidR="00E663B7" w:rsidRDefault="00E66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Times New Roman" w:eastAsia="Times New Roman" w:hAnsi="Times New Roman"/>
          <w:color w:val="auto"/>
          <w:sz w:val="20"/>
          <w:lang w:val="es-MX" w:eastAsia="es-MX"/>
        </w:rPr>
      </w:pPr>
    </w:p>
    <w:sectPr w:rsidR="00E663B7" w:rsidSect="005E13EF">
      <w:headerReference w:type="even" r:id="rId12"/>
      <w:headerReference w:type="default" r:id="rId13"/>
      <w:footerReference w:type="even" r:id="rId14"/>
      <w:footerReference w:type="default" r:id="rId15"/>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414D6" w14:textId="77777777" w:rsidR="000C4B71" w:rsidRDefault="000C4B71">
      <w:r>
        <w:separator/>
      </w:r>
    </w:p>
  </w:endnote>
  <w:endnote w:type="continuationSeparator" w:id="0">
    <w:p w14:paraId="2932F562" w14:textId="77777777" w:rsidR="000C4B71" w:rsidRDefault="000C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auto"/>
    <w:pitch w:val="variable"/>
    <w:sig w:usb0="E00002FF" w:usb1="400004FF" w:usb2="00000000" w:usb3="00000000" w:csb0="0000019F" w:csb1="00000000"/>
  </w:font>
  <w:font w:name="Courier New Bold">
    <w:panose1 w:val="020706090202050204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Bold Italic">
    <w:panose1 w:val="020B070402020209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Italic">
    <w:panose1 w:val="020B0604020202090204"/>
    <w:charset w:val="00"/>
    <w:family w:val="auto"/>
    <w:pitch w:val="variable"/>
    <w:sig w:usb0="E0000AFF" w:usb1="00007843" w:usb2="00000001" w:usb3="00000000" w:csb0="000001B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4DAEA" w14:textId="77777777" w:rsidR="000C4B71" w:rsidRDefault="000C4B71" w:rsidP="000C4B71">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12355">
      <w:rPr>
        <w:rStyle w:val="Nmerodepgina"/>
        <w:noProof/>
      </w:rPr>
      <w:t>4</w:t>
    </w:r>
    <w:r>
      <w:rPr>
        <w:rStyle w:val="Nmerodepgina"/>
      </w:rPr>
      <w:fldChar w:fldCharType="end"/>
    </w:r>
  </w:p>
  <w:p w14:paraId="311AC7A0" w14:textId="77777777" w:rsidR="000C4B71" w:rsidRDefault="000C4B71" w:rsidP="00191A73">
    <w:pPr>
      <w:pStyle w:val="Formato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360" w:firstLine="360"/>
      <w:rPr>
        <w:rFonts w:ascii="Times New Roman" w:eastAsia="Times New Roman" w:hAnsi="Times New Roman"/>
        <w:color w:val="auto"/>
        <w:sz w:val="20"/>
        <w:lang w:val="es-MX" w:eastAsia="es-MX"/>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F02D8" w14:textId="77777777" w:rsidR="000C4B71" w:rsidRDefault="000C4B71" w:rsidP="000C4B71">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12355">
      <w:rPr>
        <w:rStyle w:val="Nmerodepgina"/>
        <w:noProof/>
      </w:rPr>
      <w:t>3</w:t>
    </w:r>
    <w:r>
      <w:rPr>
        <w:rStyle w:val="Nmerodepgina"/>
      </w:rPr>
      <w:fldChar w:fldCharType="end"/>
    </w:r>
  </w:p>
  <w:p w14:paraId="375D835D" w14:textId="77777777" w:rsidR="000C4B71" w:rsidRDefault="000C4B71" w:rsidP="00191A73">
    <w:pPr>
      <w:pStyle w:val="Formato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360" w:firstLine="360"/>
      <w:rPr>
        <w:rFonts w:ascii="Times New Roman" w:eastAsia="Times New Roman" w:hAnsi="Times New Roman"/>
        <w:color w:val="auto"/>
        <w:sz w:val="20"/>
        <w:lang w:val="es-MX" w:eastAsia="es-MX"/>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CC3FD" w14:textId="77777777" w:rsidR="000C4B71" w:rsidRDefault="000C4B71">
      <w:r>
        <w:separator/>
      </w:r>
    </w:p>
  </w:footnote>
  <w:footnote w:type="continuationSeparator" w:id="0">
    <w:p w14:paraId="477F92CA" w14:textId="77777777" w:rsidR="000C4B71" w:rsidRDefault="000C4B7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854B3" w14:textId="77777777" w:rsidR="000C4B71" w:rsidRDefault="000C4B71">
    <w:pPr>
      <w:pStyle w:val="Formato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sz w:val="20"/>
        <w:lang w:val="es-MX" w:eastAsia="es-MX"/>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7AB9F" w14:textId="77777777" w:rsidR="000C4B71" w:rsidRDefault="000C4B71">
    <w:pPr>
      <w:pStyle w:val="Formato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sz w:val="20"/>
        <w:lang w:val="es-MX" w:eastAsia="es-MX"/>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0"/>
      </w:pPr>
      <w:rPr>
        <w:rFonts w:hint="default"/>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bordersDoNotSurroundFooter/>
  <w:proofState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B89"/>
    <w:rsid w:val="0000197B"/>
    <w:rsid w:val="00007B7D"/>
    <w:rsid w:val="00012355"/>
    <w:rsid w:val="00014434"/>
    <w:rsid w:val="00023CD7"/>
    <w:rsid w:val="000246C5"/>
    <w:rsid w:val="00024784"/>
    <w:rsid w:val="000400FD"/>
    <w:rsid w:val="000437B1"/>
    <w:rsid w:val="0005090E"/>
    <w:rsid w:val="000539D4"/>
    <w:rsid w:val="00057441"/>
    <w:rsid w:val="00062A07"/>
    <w:rsid w:val="000773B2"/>
    <w:rsid w:val="00081C11"/>
    <w:rsid w:val="000907C4"/>
    <w:rsid w:val="0009191E"/>
    <w:rsid w:val="000A49DC"/>
    <w:rsid w:val="000A7F8D"/>
    <w:rsid w:val="000B489F"/>
    <w:rsid w:val="000B4D06"/>
    <w:rsid w:val="000C4B71"/>
    <w:rsid w:val="000D0946"/>
    <w:rsid w:val="000E3B2B"/>
    <w:rsid w:val="00101332"/>
    <w:rsid w:val="00111FAE"/>
    <w:rsid w:val="00123E0B"/>
    <w:rsid w:val="001340DD"/>
    <w:rsid w:val="00134C1A"/>
    <w:rsid w:val="00141BD1"/>
    <w:rsid w:val="00141CD5"/>
    <w:rsid w:val="00147D97"/>
    <w:rsid w:val="001561E3"/>
    <w:rsid w:val="00180476"/>
    <w:rsid w:val="00180BEA"/>
    <w:rsid w:val="00187207"/>
    <w:rsid w:val="00191A73"/>
    <w:rsid w:val="00197FB6"/>
    <w:rsid w:val="001A05D8"/>
    <w:rsid w:val="001A6282"/>
    <w:rsid w:val="001B071B"/>
    <w:rsid w:val="001C4C78"/>
    <w:rsid w:val="001C77EF"/>
    <w:rsid w:val="001D1E60"/>
    <w:rsid w:val="001D762E"/>
    <w:rsid w:val="001D7A33"/>
    <w:rsid w:val="001E6F5F"/>
    <w:rsid w:val="001F0814"/>
    <w:rsid w:val="001F3E83"/>
    <w:rsid w:val="001F7D3A"/>
    <w:rsid w:val="00205584"/>
    <w:rsid w:val="00225390"/>
    <w:rsid w:val="00232541"/>
    <w:rsid w:val="00242AD7"/>
    <w:rsid w:val="00252399"/>
    <w:rsid w:val="00252831"/>
    <w:rsid w:val="0025492D"/>
    <w:rsid w:val="00260219"/>
    <w:rsid w:val="00261065"/>
    <w:rsid w:val="00262097"/>
    <w:rsid w:val="00265F52"/>
    <w:rsid w:val="00274B79"/>
    <w:rsid w:val="00275BCB"/>
    <w:rsid w:val="0028223D"/>
    <w:rsid w:val="00284802"/>
    <w:rsid w:val="0028493E"/>
    <w:rsid w:val="002A49DC"/>
    <w:rsid w:val="002A614B"/>
    <w:rsid w:val="002A7517"/>
    <w:rsid w:val="002A7850"/>
    <w:rsid w:val="002B023B"/>
    <w:rsid w:val="002B0CB3"/>
    <w:rsid w:val="002B1339"/>
    <w:rsid w:val="002C329F"/>
    <w:rsid w:val="002C4D6F"/>
    <w:rsid w:val="002D1F35"/>
    <w:rsid w:val="002E36F2"/>
    <w:rsid w:val="002E4E51"/>
    <w:rsid w:val="002F0D8E"/>
    <w:rsid w:val="002F2C7A"/>
    <w:rsid w:val="00304820"/>
    <w:rsid w:val="00305BCB"/>
    <w:rsid w:val="0030673D"/>
    <w:rsid w:val="00320B68"/>
    <w:rsid w:val="0033024F"/>
    <w:rsid w:val="00342504"/>
    <w:rsid w:val="0035270E"/>
    <w:rsid w:val="003533D8"/>
    <w:rsid w:val="003548EE"/>
    <w:rsid w:val="00366F05"/>
    <w:rsid w:val="00367058"/>
    <w:rsid w:val="0036729A"/>
    <w:rsid w:val="00372DA0"/>
    <w:rsid w:val="003765B0"/>
    <w:rsid w:val="003A630B"/>
    <w:rsid w:val="003A7D6F"/>
    <w:rsid w:val="003B489F"/>
    <w:rsid w:val="003B5F05"/>
    <w:rsid w:val="003B7254"/>
    <w:rsid w:val="003C2353"/>
    <w:rsid w:val="003C686E"/>
    <w:rsid w:val="003C7D2C"/>
    <w:rsid w:val="003D767C"/>
    <w:rsid w:val="003E1ADD"/>
    <w:rsid w:val="003F404C"/>
    <w:rsid w:val="00400D70"/>
    <w:rsid w:val="00415122"/>
    <w:rsid w:val="0042587D"/>
    <w:rsid w:val="004278DD"/>
    <w:rsid w:val="00434C1D"/>
    <w:rsid w:val="00444823"/>
    <w:rsid w:val="00453240"/>
    <w:rsid w:val="00465794"/>
    <w:rsid w:val="0048153E"/>
    <w:rsid w:val="00497A4E"/>
    <w:rsid w:val="004A3261"/>
    <w:rsid w:val="004A3477"/>
    <w:rsid w:val="004B4C81"/>
    <w:rsid w:val="004C4C8F"/>
    <w:rsid w:val="004C5E48"/>
    <w:rsid w:val="004D42A5"/>
    <w:rsid w:val="004D6EBA"/>
    <w:rsid w:val="004E2781"/>
    <w:rsid w:val="004E33BC"/>
    <w:rsid w:val="004E7C03"/>
    <w:rsid w:val="004F6D32"/>
    <w:rsid w:val="00501CEB"/>
    <w:rsid w:val="00502F90"/>
    <w:rsid w:val="0050492A"/>
    <w:rsid w:val="00507BAA"/>
    <w:rsid w:val="005113ED"/>
    <w:rsid w:val="0051201E"/>
    <w:rsid w:val="0051209A"/>
    <w:rsid w:val="0051230C"/>
    <w:rsid w:val="00531C5A"/>
    <w:rsid w:val="00546002"/>
    <w:rsid w:val="00553AD4"/>
    <w:rsid w:val="0055645A"/>
    <w:rsid w:val="005768B6"/>
    <w:rsid w:val="00591590"/>
    <w:rsid w:val="005A45DF"/>
    <w:rsid w:val="005B35D7"/>
    <w:rsid w:val="005C0376"/>
    <w:rsid w:val="005C4AF1"/>
    <w:rsid w:val="005D1F73"/>
    <w:rsid w:val="005D5E10"/>
    <w:rsid w:val="005E0D48"/>
    <w:rsid w:val="005E13EF"/>
    <w:rsid w:val="005E2EB3"/>
    <w:rsid w:val="005F3FC2"/>
    <w:rsid w:val="00602A16"/>
    <w:rsid w:val="00605A54"/>
    <w:rsid w:val="006204C7"/>
    <w:rsid w:val="006206A9"/>
    <w:rsid w:val="00620BCF"/>
    <w:rsid w:val="00623BB2"/>
    <w:rsid w:val="00626848"/>
    <w:rsid w:val="00632657"/>
    <w:rsid w:val="00640C66"/>
    <w:rsid w:val="00650AA9"/>
    <w:rsid w:val="00651B2D"/>
    <w:rsid w:val="006542BB"/>
    <w:rsid w:val="00666C33"/>
    <w:rsid w:val="00676918"/>
    <w:rsid w:val="0068088D"/>
    <w:rsid w:val="00693F60"/>
    <w:rsid w:val="00695EC8"/>
    <w:rsid w:val="00697FDC"/>
    <w:rsid w:val="006A3A77"/>
    <w:rsid w:val="006B1BED"/>
    <w:rsid w:val="006B2B58"/>
    <w:rsid w:val="006B3F05"/>
    <w:rsid w:val="006C166C"/>
    <w:rsid w:val="006C5A67"/>
    <w:rsid w:val="006D0432"/>
    <w:rsid w:val="006D40F5"/>
    <w:rsid w:val="006D4746"/>
    <w:rsid w:val="006E3EB8"/>
    <w:rsid w:val="006E41CB"/>
    <w:rsid w:val="006E782F"/>
    <w:rsid w:val="00712927"/>
    <w:rsid w:val="0071649F"/>
    <w:rsid w:val="00733BE0"/>
    <w:rsid w:val="0075320E"/>
    <w:rsid w:val="0077673B"/>
    <w:rsid w:val="0078155B"/>
    <w:rsid w:val="00785A02"/>
    <w:rsid w:val="00794AD7"/>
    <w:rsid w:val="007A4096"/>
    <w:rsid w:val="007B0B5C"/>
    <w:rsid w:val="007B5C03"/>
    <w:rsid w:val="007C1BBE"/>
    <w:rsid w:val="007C2EEB"/>
    <w:rsid w:val="007C6635"/>
    <w:rsid w:val="007C7FCF"/>
    <w:rsid w:val="007D229B"/>
    <w:rsid w:val="007D2CA1"/>
    <w:rsid w:val="007D765E"/>
    <w:rsid w:val="007E2BDF"/>
    <w:rsid w:val="007E361A"/>
    <w:rsid w:val="007E48C1"/>
    <w:rsid w:val="007F00B5"/>
    <w:rsid w:val="007F52E4"/>
    <w:rsid w:val="00810036"/>
    <w:rsid w:val="008205AB"/>
    <w:rsid w:val="00832D76"/>
    <w:rsid w:val="00845D7E"/>
    <w:rsid w:val="00851753"/>
    <w:rsid w:val="00852DB6"/>
    <w:rsid w:val="00860201"/>
    <w:rsid w:val="00862821"/>
    <w:rsid w:val="0086583B"/>
    <w:rsid w:val="00866EC9"/>
    <w:rsid w:val="008760F9"/>
    <w:rsid w:val="0087773F"/>
    <w:rsid w:val="00883DD2"/>
    <w:rsid w:val="00884FEA"/>
    <w:rsid w:val="008853E6"/>
    <w:rsid w:val="0089228E"/>
    <w:rsid w:val="00892792"/>
    <w:rsid w:val="00893747"/>
    <w:rsid w:val="008B0F2A"/>
    <w:rsid w:val="008B20FC"/>
    <w:rsid w:val="008B3B34"/>
    <w:rsid w:val="008C4809"/>
    <w:rsid w:val="008C7A3D"/>
    <w:rsid w:val="008D2098"/>
    <w:rsid w:val="008E0E2E"/>
    <w:rsid w:val="008E12BF"/>
    <w:rsid w:val="008F1BA5"/>
    <w:rsid w:val="008F723C"/>
    <w:rsid w:val="00902762"/>
    <w:rsid w:val="00902DA4"/>
    <w:rsid w:val="009061CC"/>
    <w:rsid w:val="00922743"/>
    <w:rsid w:val="00927DFC"/>
    <w:rsid w:val="009324AC"/>
    <w:rsid w:val="009412C5"/>
    <w:rsid w:val="009509E7"/>
    <w:rsid w:val="009646D9"/>
    <w:rsid w:val="00971AD9"/>
    <w:rsid w:val="009748DA"/>
    <w:rsid w:val="00986536"/>
    <w:rsid w:val="009B056E"/>
    <w:rsid w:val="009B25F9"/>
    <w:rsid w:val="009C502B"/>
    <w:rsid w:val="009D30B4"/>
    <w:rsid w:val="009F04BE"/>
    <w:rsid w:val="00A037F6"/>
    <w:rsid w:val="00A13AA0"/>
    <w:rsid w:val="00A20EB7"/>
    <w:rsid w:val="00A35F00"/>
    <w:rsid w:val="00A36D3D"/>
    <w:rsid w:val="00A47C73"/>
    <w:rsid w:val="00A5357F"/>
    <w:rsid w:val="00A644F8"/>
    <w:rsid w:val="00A666E4"/>
    <w:rsid w:val="00A83569"/>
    <w:rsid w:val="00A92EC9"/>
    <w:rsid w:val="00A969A9"/>
    <w:rsid w:val="00AA4127"/>
    <w:rsid w:val="00AB6875"/>
    <w:rsid w:val="00AC009C"/>
    <w:rsid w:val="00AC6DD2"/>
    <w:rsid w:val="00AE2932"/>
    <w:rsid w:val="00AF5720"/>
    <w:rsid w:val="00AF614F"/>
    <w:rsid w:val="00B03D6E"/>
    <w:rsid w:val="00B20778"/>
    <w:rsid w:val="00B21E22"/>
    <w:rsid w:val="00B22B35"/>
    <w:rsid w:val="00B30790"/>
    <w:rsid w:val="00B41435"/>
    <w:rsid w:val="00B51753"/>
    <w:rsid w:val="00B56131"/>
    <w:rsid w:val="00B661D3"/>
    <w:rsid w:val="00B72651"/>
    <w:rsid w:val="00B73A18"/>
    <w:rsid w:val="00B745A8"/>
    <w:rsid w:val="00B82D88"/>
    <w:rsid w:val="00B84D1D"/>
    <w:rsid w:val="00B8674C"/>
    <w:rsid w:val="00B87983"/>
    <w:rsid w:val="00B913A2"/>
    <w:rsid w:val="00B9258F"/>
    <w:rsid w:val="00BA1C5B"/>
    <w:rsid w:val="00BA3785"/>
    <w:rsid w:val="00BB0AA8"/>
    <w:rsid w:val="00BB7678"/>
    <w:rsid w:val="00BC4474"/>
    <w:rsid w:val="00BC61F5"/>
    <w:rsid w:val="00BD1207"/>
    <w:rsid w:val="00BD5B0A"/>
    <w:rsid w:val="00BD7F07"/>
    <w:rsid w:val="00BE0672"/>
    <w:rsid w:val="00BE5573"/>
    <w:rsid w:val="00BF2F2C"/>
    <w:rsid w:val="00BF463D"/>
    <w:rsid w:val="00BF5E1B"/>
    <w:rsid w:val="00C00B89"/>
    <w:rsid w:val="00C01FCA"/>
    <w:rsid w:val="00C028DC"/>
    <w:rsid w:val="00C0436D"/>
    <w:rsid w:val="00C06466"/>
    <w:rsid w:val="00C118DF"/>
    <w:rsid w:val="00C1778A"/>
    <w:rsid w:val="00C21B06"/>
    <w:rsid w:val="00C261BB"/>
    <w:rsid w:val="00C264FE"/>
    <w:rsid w:val="00C33A14"/>
    <w:rsid w:val="00C3627C"/>
    <w:rsid w:val="00C44A5F"/>
    <w:rsid w:val="00C7565D"/>
    <w:rsid w:val="00C76931"/>
    <w:rsid w:val="00C77B31"/>
    <w:rsid w:val="00C84A1D"/>
    <w:rsid w:val="00C90BFC"/>
    <w:rsid w:val="00C940A6"/>
    <w:rsid w:val="00CA1D45"/>
    <w:rsid w:val="00CA32BB"/>
    <w:rsid w:val="00CA42B1"/>
    <w:rsid w:val="00CA5EE1"/>
    <w:rsid w:val="00CB21E7"/>
    <w:rsid w:val="00CC00F7"/>
    <w:rsid w:val="00CC0778"/>
    <w:rsid w:val="00CD1727"/>
    <w:rsid w:val="00CD1B1C"/>
    <w:rsid w:val="00CE2751"/>
    <w:rsid w:val="00CE4221"/>
    <w:rsid w:val="00CE47AB"/>
    <w:rsid w:val="00CE5C20"/>
    <w:rsid w:val="00CE6527"/>
    <w:rsid w:val="00CF20B1"/>
    <w:rsid w:val="00CF5BCE"/>
    <w:rsid w:val="00CF5DD8"/>
    <w:rsid w:val="00D01110"/>
    <w:rsid w:val="00D025BD"/>
    <w:rsid w:val="00D07176"/>
    <w:rsid w:val="00D15543"/>
    <w:rsid w:val="00D223C9"/>
    <w:rsid w:val="00D3476A"/>
    <w:rsid w:val="00D36312"/>
    <w:rsid w:val="00D512F7"/>
    <w:rsid w:val="00D62B49"/>
    <w:rsid w:val="00D65FD6"/>
    <w:rsid w:val="00D8037D"/>
    <w:rsid w:val="00D86D91"/>
    <w:rsid w:val="00D912E8"/>
    <w:rsid w:val="00D931EE"/>
    <w:rsid w:val="00DA2430"/>
    <w:rsid w:val="00DA44FF"/>
    <w:rsid w:val="00DB08F4"/>
    <w:rsid w:val="00DB0B01"/>
    <w:rsid w:val="00DC5D16"/>
    <w:rsid w:val="00DC7AE6"/>
    <w:rsid w:val="00DD5945"/>
    <w:rsid w:val="00DD74A8"/>
    <w:rsid w:val="00DE1DC1"/>
    <w:rsid w:val="00DE2321"/>
    <w:rsid w:val="00DF5D7E"/>
    <w:rsid w:val="00DF74BD"/>
    <w:rsid w:val="00E025E2"/>
    <w:rsid w:val="00E06987"/>
    <w:rsid w:val="00E11859"/>
    <w:rsid w:val="00E26781"/>
    <w:rsid w:val="00E4606C"/>
    <w:rsid w:val="00E54FF6"/>
    <w:rsid w:val="00E631EF"/>
    <w:rsid w:val="00E663B7"/>
    <w:rsid w:val="00E72DE1"/>
    <w:rsid w:val="00E7360F"/>
    <w:rsid w:val="00E9054C"/>
    <w:rsid w:val="00E95A65"/>
    <w:rsid w:val="00E971CC"/>
    <w:rsid w:val="00E975F1"/>
    <w:rsid w:val="00EA3F17"/>
    <w:rsid w:val="00EA4EE0"/>
    <w:rsid w:val="00EA6E9E"/>
    <w:rsid w:val="00EB2462"/>
    <w:rsid w:val="00EB40E7"/>
    <w:rsid w:val="00EB617B"/>
    <w:rsid w:val="00EB65A5"/>
    <w:rsid w:val="00EC0A7D"/>
    <w:rsid w:val="00EC5202"/>
    <w:rsid w:val="00EC6854"/>
    <w:rsid w:val="00ED18FE"/>
    <w:rsid w:val="00ED5BB1"/>
    <w:rsid w:val="00ED6EC5"/>
    <w:rsid w:val="00EE02E4"/>
    <w:rsid w:val="00EE42C7"/>
    <w:rsid w:val="00EE68D7"/>
    <w:rsid w:val="00EF4EC9"/>
    <w:rsid w:val="00F10829"/>
    <w:rsid w:val="00F10ACF"/>
    <w:rsid w:val="00F11DE4"/>
    <w:rsid w:val="00F14163"/>
    <w:rsid w:val="00F14B7C"/>
    <w:rsid w:val="00F36DFB"/>
    <w:rsid w:val="00F4131E"/>
    <w:rsid w:val="00F67C24"/>
    <w:rsid w:val="00F74284"/>
    <w:rsid w:val="00F7454B"/>
    <w:rsid w:val="00F77081"/>
    <w:rsid w:val="00F85ABC"/>
    <w:rsid w:val="00F92665"/>
    <w:rsid w:val="00FA27FD"/>
    <w:rsid w:val="00FA4D24"/>
    <w:rsid w:val="00FA7499"/>
    <w:rsid w:val="00FB497C"/>
    <w:rsid w:val="00FC7BDD"/>
    <w:rsid w:val="00FE6B98"/>
    <w:rsid w:val="00FF043C"/>
    <w:rsid w:val="00FF24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632A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unhideWhenUsed="1"/>
    <w:lsdException w:name="No Spacing" w:locked="0" w:uiPriority="99" w:qFormat="1"/>
    <w:lsdException w:name="Light Shading" w:locked="0" w:semiHidden="1" w:uiPriority="99" w:unhideWhenUsed="1"/>
    <w:lsdException w:name="Light List" w:locked="0" w:semiHidden="1" w:uiPriority="99" w:unhideWhenUsed="1"/>
    <w:lsdException w:name="Light Grid" w:locked="0" w:semiHidden="1" w:uiPriority="99" w:unhideWhenUsed="1"/>
    <w:lsdException w:name="Medium Shading 1" w:locked="0" w:semiHidden="1" w:uiPriority="99" w:unhideWhenUsed="1"/>
    <w:lsdException w:name="Medium Shading 2" w:locked="0" w:semiHidden="1" w:uiPriority="99" w:unhideWhenUsed="1"/>
    <w:lsdException w:name="Medium List 1" w:locked="0" w:semiHidden="1" w:uiPriority="99" w:unhideWhenUsed="1"/>
    <w:lsdException w:name="Medium List 2" w:locked="0" w:semiHidden="1" w:uiPriority="99" w:unhideWhenUsed="1"/>
    <w:lsdException w:name="Medium Grid 1" w:locked="0" w:semiHidden="1" w:uiPriority="99"/>
    <w:lsdException w:name="Medium Grid 2" w:locked="0" w:uiPriority="1" w:qFormat="1"/>
    <w:lsdException w:name="Medium Grid 3" w:locked="0" w:uiPriority="60"/>
    <w:lsdException w:name="Dark List" w:locked="0" w:uiPriority="61"/>
    <w:lsdException w:name="Colorful Shading" w:locked="0" w:uiPriority="62"/>
    <w:lsdException w:name="Colorful List" w:locked="0" w:uiPriority="63"/>
    <w:lsdException w:name="Colorful Grid" w:locked="0" w:uiPriority="64"/>
    <w:lsdException w:name="Light Shading Accent 1" w:locked="0" w:uiPriority="65"/>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72" w:qFormat="1"/>
    <w:lsdException w:name="Quote" w:locked="0" w:uiPriority="73" w:qFormat="1"/>
    <w:lsdException w:name="Intense Quote" w:locked="0" w:uiPriority="60" w:qFormat="1"/>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semiHidden="1" w:uiPriority="99"/>
    <w:lsdException w:name="Colorful List Accent 1" w:locked="0" w:uiPriority="34" w:qFormat="1"/>
    <w:lsdException w:name="Colorful Grid Accent 1" w:locked="0" w:uiPriority="29" w:qFormat="1"/>
    <w:lsdException w:name="Light Shading Accent 2" w:locked="0" w:uiPriority="30" w:qFormat="1"/>
    <w:lsdException w:name="Light List Accent 2" w:locked="0" w:uiPriority="66"/>
    <w:lsdException w:name="Light Grid Accent 2" w:locked="0" w:uiPriority="67"/>
    <w:lsdException w:name="Medium Shading 1 Accent 2" w:locked="0" w:uiPriority="68"/>
    <w:lsdException w:name="Medium Shading 2 Accent 2" w:locked="0" w:uiPriority="69"/>
    <w:lsdException w:name="Medium List 1 Accent 2" w:locked="0" w:uiPriority="70"/>
    <w:lsdException w:name="Medium List 2 Accent 2" w:locked="0" w:uiPriority="71"/>
    <w:lsdException w:name="Medium Grid 1 Accent 2" w:locked="0" w:uiPriority="72"/>
    <w:lsdException w:name="Medium Grid 2 Accent 2" w:locked="0" w:uiPriority="73"/>
    <w:lsdException w:name="Medium Grid 3 Accent 2" w:locked="0" w:uiPriority="60"/>
    <w:lsdException w:name="Dark List Accent 2" w:locked="0" w:uiPriority="61"/>
    <w:lsdException w:name="Colorful Shading Accent 2" w:locked="0" w:uiPriority="62"/>
    <w:lsdException w:name="Colorful List Accent 2" w:locked="0" w:uiPriority="63"/>
    <w:lsdException w:name="Colorful Grid Accent 2" w:locked="0" w:uiPriority="64"/>
    <w:lsdException w:name="Light Shading Accent 3" w:locked="0" w:uiPriority="65"/>
    <w:lsdException w:name="Light List Accent 3" w:locked="0" w:uiPriority="66"/>
    <w:lsdException w:name="Light Grid Accent 3" w:locked="0" w:uiPriority="67"/>
    <w:lsdException w:name="Medium Shading 1 Accent 3" w:locked="0" w:uiPriority="68"/>
    <w:lsdException w:name="Medium Shading 2 Accent 3" w:locked="0" w:uiPriority="69"/>
    <w:lsdException w:name="Medium List 1 Accent 3" w:locked="0" w:uiPriority="70"/>
    <w:lsdException w:name="Medium List 2 Accent 3" w:locked="0" w:uiPriority="71"/>
    <w:lsdException w:name="Medium Grid 1 Accent 3" w:locked="0" w:uiPriority="72"/>
    <w:lsdException w:name="Medium Grid 2 Accent 3" w:locked="0" w:uiPriority="73"/>
    <w:lsdException w:name="Medium Grid 3 Accent 3" w:locked="0" w:uiPriority="60"/>
    <w:lsdException w:name="Dark List Accent 3" w:locked="0" w:uiPriority="61"/>
    <w:lsdException w:name="Colorful Shading Accent 3" w:locked="0" w:uiPriority="62"/>
    <w:lsdException w:name="Colorful List Accent 3" w:locked="0" w:uiPriority="63"/>
    <w:lsdException w:name="Colorful Grid Accent 3" w:locked="0" w:uiPriority="64"/>
    <w:lsdException w:name="Light Shading Accent 4" w:locked="0" w:uiPriority="65"/>
    <w:lsdException w:name="Light List Accent 4" w:locked="0" w:uiPriority="66"/>
    <w:lsdException w:name="Light Grid Accent 4" w:locked="0" w:uiPriority="67"/>
    <w:lsdException w:name="Medium Shading 1 Accent 4" w:locked="0" w:uiPriority="68"/>
    <w:lsdException w:name="Medium Shading 2 Accent 4" w:locked="0" w:uiPriority="69"/>
    <w:lsdException w:name="Medium List 1 Accent 4" w:locked="0" w:uiPriority="70"/>
    <w:lsdException w:name="Medium List 2 Accent 4" w:locked="0" w:uiPriority="71"/>
    <w:lsdException w:name="Medium Grid 1 Accent 4" w:locked="0" w:uiPriority="72"/>
    <w:lsdException w:name="Medium Grid 2 Accent 4" w:locked="0" w:uiPriority="73"/>
    <w:lsdException w:name="Medium Grid 3 Accent 4" w:locked="0" w:uiPriority="60"/>
    <w:lsdException w:name="Dark List Accent 4" w:locked="0" w:uiPriority="61"/>
    <w:lsdException w:name="Colorful Shading Accent 4" w:locked="0" w:uiPriority="62"/>
    <w:lsdException w:name="Colorful List Accent 4" w:locked="0" w:uiPriority="63"/>
    <w:lsdException w:name="Colorful Grid Accent 4" w:locked="0" w:uiPriority="64"/>
    <w:lsdException w:name="Light Shading Accent 5" w:locked="0" w:uiPriority="65"/>
    <w:lsdException w:name="Light List Accent 5" w:locked="0" w:uiPriority="66"/>
    <w:lsdException w:name="Light Grid Accent 5" w:locked="0" w:uiPriority="67"/>
    <w:lsdException w:name="Medium Shading 1 Accent 5" w:locked="0" w:uiPriority="68"/>
    <w:lsdException w:name="Medium Shading 2 Accent 5" w:locked="0" w:uiPriority="69"/>
    <w:lsdException w:name="Medium List 1 Accent 5" w:locked="0" w:uiPriority="70"/>
    <w:lsdException w:name="Medium List 2 Accent 5" w:locked="0" w:uiPriority="71"/>
    <w:lsdException w:name="Medium Grid 1 Accent 5" w:locked="0" w:uiPriority="72"/>
    <w:lsdException w:name="Medium Grid 2 Accent 5" w:locked="0" w:uiPriority="73"/>
    <w:lsdException w:name="Medium Grid 3 Accent 5" w:locked="0" w:uiPriority="60"/>
    <w:lsdException w:name="Dark List Accent 5" w:locked="0" w:uiPriority="61"/>
    <w:lsdException w:name="Colorful Shading Accent 5" w:locked="0" w:uiPriority="62"/>
    <w:lsdException w:name="Colorful List Accent 5" w:locked="0" w:uiPriority="63"/>
    <w:lsdException w:name="Colorful Grid Accent 5" w:locked="0" w:uiPriority="64"/>
    <w:lsdException w:name="Light Shading Accent 6" w:locked="0" w:uiPriority="65"/>
    <w:lsdException w:name="Light List Accent 6" w:locked="0" w:uiPriority="66"/>
    <w:lsdException w:name="Light Grid Accent 6" w:locked="0" w:uiPriority="67"/>
    <w:lsdException w:name="Medium Shading 1 Accent 6" w:locked="0" w:uiPriority="68"/>
    <w:lsdException w:name="Medium Shading 2 Accent 6" w:locked="0" w:uiPriority="69"/>
    <w:lsdException w:name="Medium List 1 Accent 6" w:locked="0" w:uiPriority="70"/>
    <w:lsdException w:name="Medium List 2 Accent 6" w:locked="0" w:uiPriority="71"/>
    <w:lsdException w:name="Medium Grid 1 Accent 6" w:locked="0" w:uiPriority="72"/>
    <w:lsdException w:name="Medium Grid 2 Accent 6" w:locked="0" w:uiPriority="73"/>
    <w:lsdException w:name="Medium Grid 3 Accent 6" w:locked="0" w:uiPriority="60"/>
    <w:lsdException w:name="Dark List Accent 6" w:locked="0" w:uiPriority="61"/>
    <w:lsdException w:name="Colorful Shading Accent 6" w:locked="0" w:uiPriority="62"/>
    <w:lsdException w:name="Colorful List Accent 6" w:locked="0" w:uiPriority="63"/>
    <w:lsdException w:name="Colorful Grid Accent 6" w:locked="0" w:uiPriority="64"/>
    <w:lsdException w:name="Subtle Emphasis" w:locked="0" w:uiPriority="65" w:qFormat="1"/>
    <w:lsdException w:name="Intense Emphasis" w:locked="0" w:uiPriority="66" w:qFormat="1"/>
    <w:lsdException w:name="Subtle Reference" w:locked="0" w:uiPriority="67" w:qFormat="1"/>
    <w:lsdException w:name="Intense Reference" w:locked="0" w:uiPriority="68" w:qFormat="1"/>
    <w:lsdException w:name="Book Title" w:locked="0" w:uiPriority="69" w:qFormat="1"/>
    <w:lsdException w:name="Bibliography" w:locked="0" w:uiPriority="70"/>
    <w:lsdException w:name="TOC Heading" w:locked="0" w:semiHidden="1" w:uiPriority="71" w:unhideWhenUsed="1" w:qFormat="1"/>
  </w:latentStyles>
  <w:style w:type="paragraph" w:default="1" w:styleId="Normal">
    <w:name w:val="Normal"/>
    <w:qFormat/>
    <w:rsid w:val="005E13EF"/>
    <w:rPr>
      <w:rFonts w:ascii="Arial" w:eastAsia="ヒラギノ角ゴ Pro W3" w:hAnsi="Arial"/>
      <w:color w:val="000000"/>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matolibre">
    <w:name w:val="Formato libre"/>
    <w:rsid w:val="005E13EF"/>
    <w:pPr>
      <w:spacing w:after="200"/>
    </w:pPr>
    <w:rPr>
      <w:rFonts w:ascii="Cambria" w:eastAsia="ヒラギノ角ゴ Pro W3" w:hAnsi="Cambria"/>
      <w:color w:val="000000"/>
      <w:sz w:val="24"/>
      <w:lang w:val="es-ES_tradnl" w:eastAsia="es-ES"/>
    </w:rPr>
  </w:style>
  <w:style w:type="paragraph" w:customStyle="1" w:styleId="Ttulo1">
    <w:name w:val="Título1"/>
    <w:rsid w:val="005E13EF"/>
    <w:pPr>
      <w:jc w:val="center"/>
    </w:pPr>
    <w:rPr>
      <w:rFonts w:ascii="Courier New Bold" w:eastAsia="ヒラギノ角ゴ Pro W3" w:hAnsi="Courier New Bold"/>
      <w:color w:val="000000"/>
      <w:sz w:val="24"/>
      <w:lang w:val="en-US" w:eastAsia="es-ES"/>
    </w:rPr>
  </w:style>
  <w:style w:type="paragraph" w:customStyle="1" w:styleId="Encabezado1">
    <w:name w:val="Encabezado1"/>
    <w:rsid w:val="005E13EF"/>
    <w:pPr>
      <w:tabs>
        <w:tab w:val="center" w:pos="4419"/>
        <w:tab w:val="right" w:pos="8838"/>
      </w:tabs>
    </w:pPr>
    <w:rPr>
      <w:rFonts w:ascii="Arial" w:eastAsia="ヒラギノ角ゴ Pro W3" w:hAnsi="Arial"/>
      <w:color w:val="000000"/>
      <w:sz w:val="24"/>
      <w:lang w:val="es-ES_tradnl" w:eastAsia="es-ES"/>
    </w:rPr>
  </w:style>
  <w:style w:type="paragraph" w:customStyle="1" w:styleId="Sangra2detindependiente1">
    <w:name w:val="Sangría 2 de t. independiente1"/>
    <w:rsid w:val="005E13EF"/>
    <w:pPr>
      <w:spacing w:after="120" w:line="480" w:lineRule="auto"/>
      <w:ind w:left="283"/>
    </w:pPr>
    <w:rPr>
      <w:rFonts w:ascii="Arial" w:eastAsia="ヒラギノ角ゴ Pro W3" w:hAnsi="Arial"/>
      <w:color w:val="000000"/>
      <w:sz w:val="24"/>
      <w:lang w:val="es-ES_tradnl" w:eastAsia="es-ES"/>
    </w:rPr>
  </w:style>
  <w:style w:type="character" w:customStyle="1" w:styleId="hps">
    <w:name w:val="hps"/>
    <w:rsid w:val="005E13EF"/>
    <w:rPr>
      <w:color w:val="000000"/>
      <w:sz w:val="24"/>
    </w:rPr>
  </w:style>
  <w:style w:type="paragraph" w:customStyle="1" w:styleId="Ttulo11">
    <w:name w:val="Título 11"/>
    <w:next w:val="Normal"/>
    <w:rsid w:val="005E13EF"/>
    <w:pPr>
      <w:keepNext/>
      <w:jc w:val="center"/>
      <w:outlineLvl w:val="0"/>
    </w:pPr>
    <w:rPr>
      <w:rFonts w:ascii="Courier New Bold" w:eastAsia="ヒラギノ角ゴ Pro W3" w:hAnsi="Courier New Bold"/>
      <w:color w:val="000000"/>
      <w:sz w:val="24"/>
      <w:lang w:val="en-US" w:eastAsia="es-ES"/>
    </w:rPr>
  </w:style>
  <w:style w:type="character" w:customStyle="1" w:styleId="nfasis1">
    <w:name w:val="Énfasis1"/>
    <w:rsid w:val="005E13EF"/>
    <w:rPr>
      <w:rFonts w:ascii="Lucida Grande" w:eastAsia="ヒラギノ角ゴ Pro W3" w:hAnsi="Lucida Grande"/>
      <w:b w:val="0"/>
      <w:i w:val="0"/>
      <w:color w:val="000000"/>
      <w:sz w:val="24"/>
    </w:rPr>
  </w:style>
  <w:style w:type="paragraph" w:customStyle="1" w:styleId="Prrafodelista1">
    <w:name w:val="Párrafo de lista1"/>
    <w:rsid w:val="005E13EF"/>
    <w:pPr>
      <w:ind w:left="720"/>
    </w:pPr>
    <w:rPr>
      <w:rFonts w:ascii="Arial" w:eastAsia="ヒラギノ角ゴ Pro W3" w:hAnsi="Arial"/>
      <w:color w:val="000000"/>
      <w:sz w:val="24"/>
      <w:lang w:val="es-ES_tradnl" w:eastAsia="es-ES"/>
    </w:rPr>
  </w:style>
  <w:style w:type="paragraph" w:customStyle="1" w:styleId="Cuerpo">
    <w:name w:val="Cuerpo"/>
    <w:rsid w:val="005E13EF"/>
    <w:rPr>
      <w:rFonts w:ascii="Helvetica" w:eastAsia="ヒラギノ角ゴ Pro W3" w:hAnsi="Helvetica"/>
      <w:color w:val="000000"/>
      <w:sz w:val="24"/>
      <w:lang w:val="es-ES_tradnl" w:eastAsia="es-ES"/>
    </w:rPr>
  </w:style>
  <w:style w:type="character" w:customStyle="1" w:styleId="apple-converted-space">
    <w:name w:val="apple-converted-space"/>
    <w:basedOn w:val="Fuentedeprrafopredeter"/>
    <w:rsid w:val="00A666E4"/>
  </w:style>
  <w:style w:type="character" w:styleId="Hipervnculo">
    <w:name w:val="Hyperlink"/>
    <w:basedOn w:val="Fuentedeprrafopredeter"/>
    <w:uiPriority w:val="99"/>
    <w:unhideWhenUsed/>
    <w:locked/>
    <w:rsid w:val="00A666E4"/>
    <w:rPr>
      <w:color w:val="0000FF"/>
      <w:u w:val="single"/>
    </w:rPr>
  </w:style>
  <w:style w:type="paragraph" w:styleId="Textodeglobo">
    <w:name w:val="Balloon Text"/>
    <w:basedOn w:val="Normal"/>
    <w:link w:val="TextodegloboCar"/>
    <w:locked/>
    <w:rsid w:val="001A05D8"/>
    <w:rPr>
      <w:rFonts w:ascii="Tahoma" w:hAnsi="Tahoma" w:cs="Tahoma"/>
      <w:sz w:val="16"/>
      <w:szCs w:val="16"/>
    </w:rPr>
  </w:style>
  <w:style w:type="character" w:customStyle="1" w:styleId="TextodegloboCar">
    <w:name w:val="Texto de globo Car"/>
    <w:basedOn w:val="Fuentedeprrafopredeter"/>
    <w:link w:val="Textodeglobo"/>
    <w:rsid w:val="001A05D8"/>
    <w:rPr>
      <w:rFonts w:ascii="Tahoma" w:eastAsia="ヒラギノ角ゴ Pro W3" w:hAnsi="Tahoma" w:cs="Tahoma"/>
      <w:color w:val="000000"/>
      <w:sz w:val="16"/>
      <w:szCs w:val="16"/>
      <w:lang w:val="es-ES_tradnl" w:eastAsia="en-US"/>
    </w:rPr>
  </w:style>
  <w:style w:type="paragraph" w:styleId="Piedepgina">
    <w:name w:val="footer"/>
    <w:basedOn w:val="Normal"/>
    <w:link w:val="PiedepginaCar"/>
    <w:locked/>
    <w:rsid w:val="00191A73"/>
    <w:pPr>
      <w:tabs>
        <w:tab w:val="center" w:pos="4252"/>
        <w:tab w:val="right" w:pos="8504"/>
      </w:tabs>
    </w:pPr>
  </w:style>
  <w:style w:type="character" w:customStyle="1" w:styleId="PiedepginaCar">
    <w:name w:val="Pie de página Car"/>
    <w:basedOn w:val="Fuentedeprrafopredeter"/>
    <w:link w:val="Piedepgina"/>
    <w:rsid w:val="00191A73"/>
    <w:rPr>
      <w:rFonts w:ascii="Arial" w:eastAsia="ヒラギノ角ゴ Pro W3" w:hAnsi="Arial"/>
      <w:color w:val="000000"/>
      <w:sz w:val="24"/>
      <w:szCs w:val="24"/>
      <w:lang w:val="es-ES_tradnl" w:eastAsia="en-US"/>
    </w:rPr>
  </w:style>
  <w:style w:type="character" w:styleId="Nmerodepgina">
    <w:name w:val="page number"/>
    <w:basedOn w:val="Fuentedeprrafopredeter"/>
    <w:locked/>
    <w:rsid w:val="00191A7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unhideWhenUsed="1"/>
    <w:lsdException w:name="No Spacing" w:locked="0" w:uiPriority="99" w:qFormat="1"/>
    <w:lsdException w:name="Light Shading" w:locked="0" w:semiHidden="1" w:uiPriority="99" w:unhideWhenUsed="1"/>
    <w:lsdException w:name="Light List" w:locked="0" w:semiHidden="1" w:uiPriority="99" w:unhideWhenUsed="1"/>
    <w:lsdException w:name="Light Grid" w:locked="0" w:semiHidden="1" w:uiPriority="99" w:unhideWhenUsed="1"/>
    <w:lsdException w:name="Medium Shading 1" w:locked="0" w:semiHidden="1" w:uiPriority="99" w:unhideWhenUsed="1"/>
    <w:lsdException w:name="Medium Shading 2" w:locked="0" w:semiHidden="1" w:uiPriority="99" w:unhideWhenUsed="1"/>
    <w:lsdException w:name="Medium List 1" w:locked="0" w:semiHidden="1" w:uiPriority="99" w:unhideWhenUsed="1"/>
    <w:lsdException w:name="Medium List 2" w:locked="0" w:semiHidden="1" w:uiPriority="99" w:unhideWhenUsed="1"/>
    <w:lsdException w:name="Medium Grid 1" w:locked="0" w:semiHidden="1" w:uiPriority="99"/>
    <w:lsdException w:name="Medium Grid 2" w:locked="0" w:uiPriority="1" w:qFormat="1"/>
    <w:lsdException w:name="Medium Grid 3" w:locked="0" w:uiPriority="60"/>
    <w:lsdException w:name="Dark List" w:locked="0" w:uiPriority="61"/>
    <w:lsdException w:name="Colorful Shading" w:locked="0" w:uiPriority="62"/>
    <w:lsdException w:name="Colorful List" w:locked="0" w:uiPriority="63"/>
    <w:lsdException w:name="Colorful Grid" w:locked="0" w:uiPriority="64"/>
    <w:lsdException w:name="Light Shading Accent 1" w:locked="0" w:uiPriority="65"/>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72" w:qFormat="1"/>
    <w:lsdException w:name="Quote" w:locked="0" w:uiPriority="73" w:qFormat="1"/>
    <w:lsdException w:name="Intense Quote" w:locked="0" w:uiPriority="60" w:qFormat="1"/>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semiHidden="1" w:uiPriority="99"/>
    <w:lsdException w:name="Colorful List Accent 1" w:locked="0" w:uiPriority="34" w:qFormat="1"/>
    <w:lsdException w:name="Colorful Grid Accent 1" w:locked="0" w:uiPriority="29" w:qFormat="1"/>
    <w:lsdException w:name="Light Shading Accent 2" w:locked="0" w:uiPriority="30" w:qFormat="1"/>
    <w:lsdException w:name="Light List Accent 2" w:locked="0" w:uiPriority="66"/>
    <w:lsdException w:name="Light Grid Accent 2" w:locked="0" w:uiPriority="67"/>
    <w:lsdException w:name="Medium Shading 1 Accent 2" w:locked="0" w:uiPriority="68"/>
    <w:lsdException w:name="Medium Shading 2 Accent 2" w:locked="0" w:uiPriority="69"/>
    <w:lsdException w:name="Medium List 1 Accent 2" w:locked="0" w:uiPriority="70"/>
    <w:lsdException w:name="Medium List 2 Accent 2" w:locked="0" w:uiPriority="71"/>
    <w:lsdException w:name="Medium Grid 1 Accent 2" w:locked="0" w:uiPriority="72"/>
    <w:lsdException w:name="Medium Grid 2 Accent 2" w:locked="0" w:uiPriority="73"/>
    <w:lsdException w:name="Medium Grid 3 Accent 2" w:locked="0" w:uiPriority="60"/>
    <w:lsdException w:name="Dark List Accent 2" w:locked="0" w:uiPriority="61"/>
    <w:lsdException w:name="Colorful Shading Accent 2" w:locked="0" w:uiPriority="62"/>
    <w:lsdException w:name="Colorful List Accent 2" w:locked="0" w:uiPriority="63"/>
    <w:lsdException w:name="Colorful Grid Accent 2" w:locked="0" w:uiPriority="64"/>
    <w:lsdException w:name="Light Shading Accent 3" w:locked="0" w:uiPriority="65"/>
    <w:lsdException w:name="Light List Accent 3" w:locked="0" w:uiPriority="66"/>
    <w:lsdException w:name="Light Grid Accent 3" w:locked="0" w:uiPriority="67"/>
    <w:lsdException w:name="Medium Shading 1 Accent 3" w:locked="0" w:uiPriority="68"/>
    <w:lsdException w:name="Medium Shading 2 Accent 3" w:locked="0" w:uiPriority="69"/>
    <w:lsdException w:name="Medium List 1 Accent 3" w:locked="0" w:uiPriority="70"/>
    <w:lsdException w:name="Medium List 2 Accent 3" w:locked="0" w:uiPriority="71"/>
    <w:lsdException w:name="Medium Grid 1 Accent 3" w:locked="0" w:uiPriority="72"/>
    <w:lsdException w:name="Medium Grid 2 Accent 3" w:locked="0" w:uiPriority="73"/>
    <w:lsdException w:name="Medium Grid 3 Accent 3" w:locked="0" w:uiPriority="60"/>
    <w:lsdException w:name="Dark List Accent 3" w:locked="0" w:uiPriority="61"/>
    <w:lsdException w:name="Colorful Shading Accent 3" w:locked="0" w:uiPriority="62"/>
    <w:lsdException w:name="Colorful List Accent 3" w:locked="0" w:uiPriority="63"/>
    <w:lsdException w:name="Colorful Grid Accent 3" w:locked="0" w:uiPriority="64"/>
    <w:lsdException w:name="Light Shading Accent 4" w:locked="0" w:uiPriority="65"/>
    <w:lsdException w:name="Light List Accent 4" w:locked="0" w:uiPriority="66"/>
    <w:lsdException w:name="Light Grid Accent 4" w:locked="0" w:uiPriority="67"/>
    <w:lsdException w:name="Medium Shading 1 Accent 4" w:locked="0" w:uiPriority="68"/>
    <w:lsdException w:name="Medium Shading 2 Accent 4" w:locked="0" w:uiPriority="69"/>
    <w:lsdException w:name="Medium List 1 Accent 4" w:locked="0" w:uiPriority="70"/>
    <w:lsdException w:name="Medium List 2 Accent 4" w:locked="0" w:uiPriority="71"/>
    <w:lsdException w:name="Medium Grid 1 Accent 4" w:locked="0" w:uiPriority="72"/>
    <w:lsdException w:name="Medium Grid 2 Accent 4" w:locked="0" w:uiPriority="73"/>
    <w:lsdException w:name="Medium Grid 3 Accent 4" w:locked="0" w:uiPriority="60"/>
    <w:lsdException w:name="Dark List Accent 4" w:locked="0" w:uiPriority="61"/>
    <w:lsdException w:name="Colorful Shading Accent 4" w:locked="0" w:uiPriority="62"/>
    <w:lsdException w:name="Colorful List Accent 4" w:locked="0" w:uiPriority="63"/>
    <w:lsdException w:name="Colorful Grid Accent 4" w:locked="0" w:uiPriority="64"/>
    <w:lsdException w:name="Light Shading Accent 5" w:locked="0" w:uiPriority="65"/>
    <w:lsdException w:name="Light List Accent 5" w:locked="0" w:uiPriority="66"/>
    <w:lsdException w:name="Light Grid Accent 5" w:locked="0" w:uiPriority="67"/>
    <w:lsdException w:name="Medium Shading 1 Accent 5" w:locked="0" w:uiPriority="68"/>
    <w:lsdException w:name="Medium Shading 2 Accent 5" w:locked="0" w:uiPriority="69"/>
    <w:lsdException w:name="Medium List 1 Accent 5" w:locked="0" w:uiPriority="70"/>
    <w:lsdException w:name="Medium List 2 Accent 5" w:locked="0" w:uiPriority="71"/>
    <w:lsdException w:name="Medium Grid 1 Accent 5" w:locked="0" w:uiPriority="72"/>
    <w:lsdException w:name="Medium Grid 2 Accent 5" w:locked="0" w:uiPriority="73"/>
    <w:lsdException w:name="Medium Grid 3 Accent 5" w:locked="0" w:uiPriority="60"/>
    <w:lsdException w:name="Dark List Accent 5" w:locked="0" w:uiPriority="61"/>
    <w:lsdException w:name="Colorful Shading Accent 5" w:locked="0" w:uiPriority="62"/>
    <w:lsdException w:name="Colorful List Accent 5" w:locked="0" w:uiPriority="63"/>
    <w:lsdException w:name="Colorful Grid Accent 5" w:locked="0" w:uiPriority="64"/>
    <w:lsdException w:name="Light Shading Accent 6" w:locked="0" w:uiPriority="65"/>
    <w:lsdException w:name="Light List Accent 6" w:locked="0" w:uiPriority="66"/>
    <w:lsdException w:name="Light Grid Accent 6" w:locked="0" w:uiPriority="67"/>
    <w:lsdException w:name="Medium Shading 1 Accent 6" w:locked="0" w:uiPriority="68"/>
    <w:lsdException w:name="Medium Shading 2 Accent 6" w:locked="0" w:uiPriority="69"/>
    <w:lsdException w:name="Medium List 1 Accent 6" w:locked="0" w:uiPriority="70"/>
    <w:lsdException w:name="Medium List 2 Accent 6" w:locked="0" w:uiPriority="71"/>
    <w:lsdException w:name="Medium Grid 1 Accent 6" w:locked="0" w:uiPriority="72"/>
    <w:lsdException w:name="Medium Grid 2 Accent 6" w:locked="0" w:uiPriority="73"/>
    <w:lsdException w:name="Medium Grid 3 Accent 6" w:locked="0" w:uiPriority="60"/>
    <w:lsdException w:name="Dark List Accent 6" w:locked="0" w:uiPriority="61"/>
    <w:lsdException w:name="Colorful Shading Accent 6" w:locked="0" w:uiPriority="62"/>
    <w:lsdException w:name="Colorful List Accent 6" w:locked="0" w:uiPriority="63"/>
    <w:lsdException w:name="Colorful Grid Accent 6" w:locked="0" w:uiPriority="64"/>
    <w:lsdException w:name="Subtle Emphasis" w:locked="0" w:uiPriority="65" w:qFormat="1"/>
    <w:lsdException w:name="Intense Emphasis" w:locked="0" w:uiPriority="66" w:qFormat="1"/>
    <w:lsdException w:name="Subtle Reference" w:locked="0" w:uiPriority="67" w:qFormat="1"/>
    <w:lsdException w:name="Intense Reference" w:locked="0" w:uiPriority="68" w:qFormat="1"/>
    <w:lsdException w:name="Book Title" w:locked="0" w:uiPriority="69" w:qFormat="1"/>
    <w:lsdException w:name="Bibliography" w:locked="0" w:uiPriority="70"/>
    <w:lsdException w:name="TOC Heading" w:locked="0" w:semiHidden="1" w:uiPriority="71" w:unhideWhenUsed="1" w:qFormat="1"/>
  </w:latentStyles>
  <w:style w:type="paragraph" w:default="1" w:styleId="Normal">
    <w:name w:val="Normal"/>
    <w:qFormat/>
    <w:rsid w:val="005E13EF"/>
    <w:rPr>
      <w:rFonts w:ascii="Arial" w:eastAsia="ヒラギノ角ゴ Pro W3" w:hAnsi="Arial"/>
      <w:color w:val="000000"/>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matolibre">
    <w:name w:val="Formato libre"/>
    <w:rsid w:val="005E13EF"/>
    <w:pPr>
      <w:spacing w:after="200"/>
    </w:pPr>
    <w:rPr>
      <w:rFonts w:ascii="Cambria" w:eastAsia="ヒラギノ角ゴ Pro W3" w:hAnsi="Cambria"/>
      <w:color w:val="000000"/>
      <w:sz w:val="24"/>
      <w:lang w:val="es-ES_tradnl" w:eastAsia="es-ES"/>
    </w:rPr>
  </w:style>
  <w:style w:type="paragraph" w:customStyle="1" w:styleId="Ttulo1">
    <w:name w:val="Título1"/>
    <w:rsid w:val="005E13EF"/>
    <w:pPr>
      <w:jc w:val="center"/>
    </w:pPr>
    <w:rPr>
      <w:rFonts w:ascii="Courier New Bold" w:eastAsia="ヒラギノ角ゴ Pro W3" w:hAnsi="Courier New Bold"/>
      <w:color w:val="000000"/>
      <w:sz w:val="24"/>
      <w:lang w:val="en-US" w:eastAsia="es-ES"/>
    </w:rPr>
  </w:style>
  <w:style w:type="paragraph" w:customStyle="1" w:styleId="Encabezado1">
    <w:name w:val="Encabezado1"/>
    <w:rsid w:val="005E13EF"/>
    <w:pPr>
      <w:tabs>
        <w:tab w:val="center" w:pos="4419"/>
        <w:tab w:val="right" w:pos="8838"/>
      </w:tabs>
    </w:pPr>
    <w:rPr>
      <w:rFonts w:ascii="Arial" w:eastAsia="ヒラギノ角ゴ Pro W3" w:hAnsi="Arial"/>
      <w:color w:val="000000"/>
      <w:sz w:val="24"/>
      <w:lang w:val="es-ES_tradnl" w:eastAsia="es-ES"/>
    </w:rPr>
  </w:style>
  <w:style w:type="paragraph" w:customStyle="1" w:styleId="Sangra2detindependiente1">
    <w:name w:val="Sangría 2 de t. independiente1"/>
    <w:rsid w:val="005E13EF"/>
    <w:pPr>
      <w:spacing w:after="120" w:line="480" w:lineRule="auto"/>
      <w:ind w:left="283"/>
    </w:pPr>
    <w:rPr>
      <w:rFonts w:ascii="Arial" w:eastAsia="ヒラギノ角ゴ Pro W3" w:hAnsi="Arial"/>
      <w:color w:val="000000"/>
      <w:sz w:val="24"/>
      <w:lang w:val="es-ES_tradnl" w:eastAsia="es-ES"/>
    </w:rPr>
  </w:style>
  <w:style w:type="character" w:customStyle="1" w:styleId="hps">
    <w:name w:val="hps"/>
    <w:rsid w:val="005E13EF"/>
    <w:rPr>
      <w:color w:val="000000"/>
      <w:sz w:val="24"/>
    </w:rPr>
  </w:style>
  <w:style w:type="paragraph" w:customStyle="1" w:styleId="Ttulo11">
    <w:name w:val="Título 11"/>
    <w:next w:val="Normal"/>
    <w:rsid w:val="005E13EF"/>
    <w:pPr>
      <w:keepNext/>
      <w:jc w:val="center"/>
      <w:outlineLvl w:val="0"/>
    </w:pPr>
    <w:rPr>
      <w:rFonts w:ascii="Courier New Bold" w:eastAsia="ヒラギノ角ゴ Pro W3" w:hAnsi="Courier New Bold"/>
      <w:color w:val="000000"/>
      <w:sz w:val="24"/>
      <w:lang w:val="en-US" w:eastAsia="es-ES"/>
    </w:rPr>
  </w:style>
  <w:style w:type="character" w:customStyle="1" w:styleId="nfasis1">
    <w:name w:val="Énfasis1"/>
    <w:rsid w:val="005E13EF"/>
    <w:rPr>
      <w:rFonts w:ascii="Lucida Grande" w:eastAsia="ヒラギノ角ゴ Pro W3" w:hAnsi="Lucida Grande"/>
      <w:b w:val="0"/>
      <w:i w:val="0"/>
      <w:color w:val="000000"/>
      <w:sz w:val="24"/>
    </w:rPr>
  </w:style>
  <w:style w:type="paragraph" w:customStyle="1" w:styleId="Prrafodelista1">
    <w:name w:val="Párrafo de lista1"/>
    <w:rsid w:val="005E13EF"/>
    <w:pPr>
      <w:ind w:left="720"/>
    </w:pPr>
    <w:rPr>
      <w:rFonts w:ascii="Arial" w:eastAsia="ヒラギノ角ゴ Pro W3" w:hAnsi="Arial"/>
      <w:color w:val="000000"/>
      <w:sz w:val="24"/>
      <w:lang w:val="es-ES_tradnl" w:eastAsia="es-ES"/>
    </w:rPr>
  </w:style>
  <w:style w:type="paragraph" w:customStyle="1" w:styleId="Cuerpo">
    <w:name w:val="Cuerpo"/>
    <w:rsid w:val="005E13EF"/>
    <w:rPr>
      <w:rFonts w:ascii="Helvetica" w:eastAsia="ヒラギノ角ゴ Pro W3" w:hAnsi="Helvetica"/>
      <w:color w:val="000000"/>
      <w:sz w:val="24"/>
      <w:lang w:val="es-ES_tradnl" w:eastAsia="es-ES"/>
    </w:rPr>
  </w:style>
  <w:style w:type="character" w:customStyle="1" w:styleId="apple-converted-space">
    <w:name w:val="apple-converted-space"/>
    <w:basedOn w:val="Fuentedeprrafopredeter"/>
    <w:rsid w:val="00A666E4"/>
  </w:style>
  <w:style w:type="character" w:styleId="Hipervnculo">
    <w:name w:val="Hyperlink"/>
    <w:basedOn w:val="Fuentedeprrafopredeter"/>
    <w:uiPriority w:val="99"/>
    <w:unhideWhenUsed/>
    <w:locked/>
    <w:rsid w:val="00A666E4"/>
    <w:rPr>
      <w:color w:val="0000FF"/>
      <w:u w:val="single"/>
    </w:rPr>
  </w:style>
  <w:style w:type="paragraph" w:styleId="Textodeglobo">
    <w:name w:val="Balloon Text"/>
    <w:basedOn w:val="Normal"/>
    <w:link w:val="TextodegloboCar"/>
    <w:locked/>
    <w:rsid w:val="001A05D8"/>
    <w:rPr>
      <w:rFonts w:ascii="Tahoma" w:hAnsi="Tahoma" w:cs="Tahoma"/>
      <w:sz w:val="16"/>
      <w:szCs w:val="16"/>
    </w:rPr>
  </w:style>
  <w:style w:type="character" w:customStyle="1" w:styleId="TextodegloboCar">
    <w:name w:val="Texto de globo Car"/>
    <w:basedOn w:val="Fuentedeprrafopredeter"/>
    <w:link w:val="Textodeglobo"/>
    <w:rsid w:val="001A05D8"/>
    <w:rPr>
      <w:rFonts w:ascii="Tahoma" w:eastAsia="ヒラギノ角ゴ Pro W3" w:hAnsi="Tahoma" w:cs="Tahoma"/>
      <w:color w:val="000000"/>
      <w:sz w:val="16"/>
      <w:szCs w:val="16"/>
      <w:lang w:val="es-ES_tradnl" w:eastAsia="en-US"/>
    </w:rPr>
  </w:style>
  <w:style w:type="paragraph" w:styleId="Piedepgina">
    <w:name w:val="footer"/>
    <w:basedOn w:val="Normal"/>
    <w:link w:val="PiedepginaCar"/>
    <w:locked/>
    <w:rsid w:val="00191A73"/>
    <w:pPr>
      <w:tabs>
        <w:tab w:val="center" w:pos="4252"/>
        <w:tab w:val="right" w:pos="8504"/>
      </w:tabs>
    </w:pPr>
  </w:style>
  <w:style w:type="character" w:customStyle="1" w:styleId="PiedepginaCar">
    <w:name w:val="Pie de página Car"/>
    <w:basedOn w:val="Fuentedeprrafopredeter"/>
    <w:link w:val="Piedepgina"/>
    <w:rsid w:val="00191A73"/>
    <w:rPr>
      <w:rFonts w:ascii="Arial" w:eastAsia="ヒラギノ角ゴ Pro W3" w:hAnsi="Arial"/>
      <w:color w:val="000000"/>
      <w:sz w:val="24"/>
      <w:szCs w:val="24"/>
      <w:lang w:val="es-ES_tradnl" w:eastAsia="en-US"/>
    </w:rPr>
  </w:style>
  <w:style w:type="character" w:styleId="Nmerodepgina">
    <w:name w:val="page number"/>
    <w:basedOn w:val="Fuentedeprrafopredeter"/>
    <w:locked/>
    <w:rsid w:val="00191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879385">
      <w:bodyDiv w:val="1"/>
      <w:marLeft w:val="0"/>
      <w:marRight w:val="0"/>
      <w:marTop w:val="0"/>
      <w:marBottom w:val="0"/>
      <w:divBdr>
        <w:top w:val="none" w:sz="0" w:space="0" w:color="auto"/>
        <w:left w:val="none" w:sz="0" w:space="0" w:color="auto"/>
        <w:bottom w:val="none" w:sz="0" w:space="0" w:color="auto"/>
        <w:right w:val="none" w:sz="0" w:space="0" w:color="auto"/>
      </w:divBdr>
      <w:divsChild>
        <w:div w:id="288829688">
          <w:marLeft w:val="0"/>
          <w:marRight w:val="0"/>
          <w:marTop w:val="0"/>
          <w:marBottom w:val="0"/>
          <w:divBdr>
            <w:top w:val="none" w:sz="0" w:space="0" w:color="auto"/>
            <w:left w:val="none" w:sz="0" w:space="0" w:color="auto"/>
            <w:bottom w:val="none" w:sz="0" w:space="0" w:color="auto"/>
            <w:right w:val="none" w:sz="0" w:space="0" w:color="auto"/>
          </w:divBdr>
        </w:div>
        <w:div w:id="611014789">
          <w:marLeft w:val="0"/>
          <w:marRight w:val="0"/>
          <w:marTop w:val="0"/>
          <w:marBottom w:val="0"/>
          <w:divBdr>
            <w:top w:val="none" w:sz="0" w:space="0" w:color="auto"/>
            <w:left w:val="none" w:sz="0" w:space="0" w:color="auto"/>
            <w:bottom w:val="none" w:sz="0" w:space="0" w:color="auto"/>
            <w:right w:val="none" w:sz="0" w:space="0" w:color="auto"/>
          </w:divBdr>
        </w:div>
        <w:div w:id="414323502">
          <w:marLeft w:val="0"/>
          <w:marRight w:val="0"/>
          <w:marTop w:val="0"/>
          <w:marBottom w:val="0"/>
          <w:divBdr>
            <w:top w:val="none" w:sz="0" w:space="0" w:color="auto"/>
            <w:left w:val="none" w:sz="0" w:space="0" w:color="auto"/>
            <w:bottom w:val="none" w:sz="0" w:space="0" w:color="auto"/>
            <w:right w:val="none" w:sz="0" w:space="0" w:color="auto"/>
          </w:divBdr>
        </w:div>
        <w:div w:id="1462185246">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24</Pages>
  <Words>5145</Words>
  <Characters>28299</Characters>
  <Application>Microsoft Macintosh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Hospital Civil de Guadalajara Fray Antonio Alcalde</Company>
  <LinksUpToDate>false</LinksUpToDate>
  <CharactersWithSpaces>33378</CharactersWithSpaces>
  <SharedDoc>false</SharedDoc>
  <HLinks>
    <vt:vector size="24" baseType="variant">
      <vt:variant>
        <vt:i4>4980819</vt:i4>
      </vt:variant>
      <vt:variant>
        <vt:i4>35139</vt:i4>
      </vt:variant>
      <vt:variant>
        <vt:i4>1025</vt:i4>
      </vt:variant>
      <vt:variant>
        <vt:i4>1</vt:i4>
      </vt:variant>
      <vt:variant>
        <vt:lpwstr>Figura 1</vt:lpwstr>
      </vt:variant>
      <vt:variant>
        <vt:lpwstr/>
      </vt:variant>
      <vt:variant>
        <vt:i4>5177427</vt:i4>
      </vt:variant>
      <vt:variant>
        <vt:i4>35265</vt:i4>
      </vt:variant>
      <vt:variant>
        <vt:i4>1026</vt:i4>
      </vt:variant>
      <vt:variant>
        <vt:i4>1</vt:i4>
      </vt:variant>
      <vt:variant>
        <vt:lpwstr>Figura 2</vt:lpwstr>
      </vt:variant>
      <vt:variant>
        <vt:lpwstr/>
      </vt:variant>
      <vt:variant>
        <vt:i4>5111891</vt:i4>
      </vt:variant>
      <vt:variant>
        <vt:i4>62620</vt:i4>
      </vt:variant>
      <vt:variant>
        <vt:i4>1027</vt:i4>
      </vt:variant>
      <vt:variant>
        <vt:i4>1</vt:i4>
      </vt:variant>
      <vt:variant>
        <vt:lpwstr>Figura 3</vt:lpwstr>
      </vt:variant>
      <vt:variant>
        <vt:lpwstr/>
      </vt:variant>
      <vt:variant>
        <vt:i4>4784211</vt:i4>
      </vt:variant>
      <vt:variant>
        <vt:i4>62961</vt:i4>
      </vt:variant>
      <vt:variant>
        <vt:i4>1028</vt:i4>
      </vt:variant>
      <vt:variant>
        <vt:i4>1</vt:i4>
      </vt:variant>
      <vt:variant>
        <vt:lpwstr>Figura 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Erwin Chiquete</dc:creator>
  <cp:lastModifiedBy>Erwin Chiquete</cp:lastModifiedBy>
  <cp:revision>28</cp:revision>
  <dcterms:created xsi:type="dcterms:W3CDTF">2012-05-06T23:14:00Z</dcterms:created>
  <dcterms:modified xsi:type="dcterms:W3CDTF">2014-05-05T00:01:00Z</dcterms:modified>
</cp:coreProperties>
</file>